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2024年</w:t>
      </w:r>
      <w:r>
        <w:rPr>
          <w:rFonts w:hint="eastAsia" w:ascii="方正小标宋简体" w:eastAsia="方正小标宋简体"/>
          <w:sz w:val="44"/>
          <w:szCs w:val="44"/>
          <w:lang w:eastAsia="zh-CN"/>
        </w:rPr>
        <w:t>北京城市副中心管理委员会</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部门整体绩效评价报告</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jc w:val="center"/>
        <w:textAlignment w:val="auto"/>
        <w:rPr>
          <w:rFonts w:ascii="仿宋_GB2312"/>
          <w:szCs w:val="30"/>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1.机构设置情况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根据《中共北京市委办公厅 北京市人民政府办公厅关于调整组建市委市政府城市副中心工作机构的通知》（京办字〔2019〕5号）、《中共北京市委机构编制委员会关于调整北京城市副中心管理机构的内设机构和处级领导职数等事项的批复》（京编委发〔2023〕12号），设立北京城市副中心管理委员会为市委、市政府的派出机构，内设12个处室和机关党委，分别为办公室、法制处、创新发展处、投资综合处、产业促进处、营商环境处（政务服务处）、规划编制处、规划实施处、自然资源管理处、建设管理协调处、一体化发展协调处、人事处、机关党委。根据《中共北京市委机构编制委员会办公室关于调整北京通州文化旅游区服务中心隶属关系的批复》（京编办复〔2023〕132号），将北京通州文化旅游区服务中心调整为我单位所属事业单位。</w:t>
      </w:r>
      <w:bookmarkStart w:id="0" w:name="_GoBack"/>
      <w:bookmarkEnd w:id="0"/>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2.职责工作任务情况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ascii="楷体_GB2312" w:eastAsia="楷体_GB2312"/>
          <w:sz w:val="32"/>
          <w:szCs w:val="32"/>
        </w:rPr>
      </w:pPr>
      <w:r>
        <w:rPr>
          <w:rFonts w:hint="eastAsia" w:ascii="仿宋_GB2312" w:eastAsia="仿宋_GB2312"/>
          <w:sz w:val="32"/>
          <w:szCs w:val="32"/>
        </w:rPr>
        <w:t>我单位主要负责贯彻落实党的路线方针政策和市委决策部署，组织推进副中心规划建设管理各项工作，根据授权在副中心规划范围内行使有关市级管理权限；负责组织实施副中心控制性详细规划，组织制定副中心高质量发展、优化产业结构、保障固定投资、优化营商环境的相关规划、计划和政策、标准，并协调落实；协调推进副中心国家绿色发展示范区建设，落实好重点工程、重大项目建设政策协调服务保障工作；负责综合协调、整体推进副中心与通州区一体发展；负责与廊坊北三县的工作协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ascii="楷体_GB2312" w:eastAsia="楷体_GB2312"/>
          <w:sz w:val="32"/>
          <w:szCs w:val="32"/>
        </w:rPr>
      </w:pPr>
      <w:r>
        <w:rPr>
          <w:rFonts w:hint="eastAsia" w:ascii="楷体_GB2312" w:eastAsia="楷体_GB2312"/>
          <w:sz w:val="32"/>
          <w:szCs w:val="32"/>
        </w:rPr>
        <w:t>（二）部门整体绩效目标设立情况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5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1.绩效</w:t>
      </w:r>
      <w:r>
        <w:rPr>
          <w:rFonts w:hint="eastAsia" w:ascii="仿宋_GB2312" w:eastAsia="仿宋_GB2312"/>
          <w:sz w:val="32"/>
          <w:szCs w:val="32"/>
          <w:highlight w:val="none"/>
        </w:rPr>
        <w:t>目标与职责任务匹配</w:t>
      </w:r>
      <w:r>
        <w:rPr>
          <w:rFonts w:hint="eastAsia" w:ascii="仿宋_GB2312" w:eastAsia="仿宋_GB2312"/>
          <w:sz w:val="32"/>
          <w:szCs w:val="32"/>
          <w:highlight w:val="none"/>
          <w:lang w:eastAsia="zh-CN"/>
        </w:rPr>
        <w:t>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5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年度部门整体绩效目标围绕部门职能及202</w:t>
      </w:r>
      <w:r>
        <w:rPr>
          <w:rFonts w:hint="eastAsia" w:ascii="仿宋_GB2312" w:eastAsia="仿宋_GB2312"/>
          <w:sz w:val="32"/>
          <w:szCs w:val="32"/>
          <w:lang w:val="en-US" w:eastAsia="zh-CN"/>
        </w:rPr>
        <w:t>4</w:t>
      </w:r>
      <w:r>
        <w:rPr>
          <w:rFonts w:hint="eastAsia" w:ascii="仿宋_GB2312" w:eastAsia="仿宋_GB2312"/>
          <w:sz w:val="32"/>
          <w:szCs w:val="32"/>
        </w:rPr>
        <w:t>年度工作计划设置，绩效内容与部门职责履行、年度工作任务相符。绩效目标与部门职责及年度重点工作匹配情况如下</w:t>
      </w:r>
      <w:r>
        <w:rPr>
          <w:rFonts w:hint="eastAsia" w:ascii="仿宋_GB2312" w:eastAsia="仿宋_GB2312"/>
          <w:sz w:val="32"/>
          <w:szCs w:val="32"/>
          <w:lang w:eastAsia="zh-CN"/>
        </w:rPr>
        <w:t>：</w:t>
      </w:r>
    </w:p>
    <w:p>
      <w:pPr>
        <w:pStyle w:val="2"/>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jc w:val="center"/>
        <w:textAlignment w:val="auto"/>
        <w:rPr>
          <w:rFonts w:hint="default"/>
          <w:sz w:val="24"/>
          <w:szCs w:val="24"/>
          <w:lang w:val="en-US" w:eastAsia="zh-CN"/>
        </w:rPr>
      </w:pPr>
      <w:r>
        <w:rPr>
          <w:rFonts w:hint="eastAsia" w:ascii="仿宋_GB2312"/>
          <w:sz w:val="24"/>
          <w:szCs w:val="24"/>
          <w:lang w:eastAsia="zh-CN"/>
        </w:rPr>
        <w:t>表</w:t>
      </w:r>
      <w:r>
        <w:rPr>
          <w:rFonts w:hint="eastAsia" w:ascii="仿宋_GB2312"/>
          <w:sz w:val="24"/>
          <w:szCs w:val="24"/>
          <w:lang w:val="en-US" w:eastAsia="zh-CN"/>
        </w:rPr>
        <w:t>1：2024年度部门整体绩效目标与职责及年度任务对应情况表</w:t>
      </w:r>
    </w:p>
    <w:tbl>
      <w:tblPr>
        <w:tblStyle w:val="9"/>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3193"/>
        <w:gridCol w:w="2137"/>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7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序号</w:t>
            </w:r>
          </w:p>
        </w:tc>
        <w:tc>
          <w:tcPr>
            <w:tcW w:w="3193"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部门职责</w:t>
            </w:r>
          </w:p>
        </w:tc>
        <w:tc>
          <w:tcPr>
            <w:tcW w:w="213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年度任务</w:t>
            </w:r>
          </w:p>
        </w:tc>
        <w:tc>
          <w:tcPr>
            <w:tcW w:w="355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具体任务指标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3193"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协调推进副中心国家绿色发展示范区建设和高质量发展工作</w:t>
            </w:r>
            <w:r>
              <w:rPr>
                <w:rFonts w:hint="eastAsia" w:ascii="宋体" w:hAnsi="宋体" w:cs="宋体"/>
                <w:color w:val="000000"/>
                <w:sz w:val="21"/>
                <w:szCs w:val="21"/>
                <w:lang w:eastAsia="zh-CN"/>
              </w:rPr>
              <w:t>。</w:t>
            </w:r>
          </w:p>
        </w:tc>
        <w:tc>
          <w:tcPr>
            <w:tcW w:w="213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加快建设副中心国家绿色发展示范区，进一步研究城市副中心高质量发展后续落实的重点任务和要求。</w:t>
            </w:r>
          </w:p>
        </w:tc>
        <w:tc>
          <w:tcPr>
            <w:tcW w:w="355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举办北京城市副中心绿色发展论坛＝1场</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制定北京城市副中心高质量发展阶段性评估报告＝1项</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制定北京城市副中心高质量发展专题研究报告＝3篇</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更新副中心宣传片=1次</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default"/>
                <w:lang w:val="en-US" w:eastAsia="zh-CN"/>
              </w:rPr>
            </w:pPr>
            <w:r>
              <w:rPr>
                <w:rFonts w:hint="eastAsia" w:ascii="宋体" w:hAnsi="宋体" w:cs="宋体"/>
                <w:color w:val="000000"/>
                <w:sz w:val="21"/>
                <w:szCs w:val="21"/>
                <w:lang w:val="zh-CN" w:eastAsia="zh-CN"/>
              </w:rPr>
              <w:t>制作宣传短视频数量</w:t>
            </w:r>
            <w:r>
              <w:rPr>
                <w:rFonts w:hint="eastAsia" w:ascii="宋体" w:hAnsi="宋体" w:cs="宋体"/>
                <w:color w:val="000000"/>
                <w:sz w:val="21"/>
                <w:szCs w:val="21"/>
                <w:lang w:val="en-US" w:eastAsia="zh-CN"/>
              </w:rPr>
              <w:t>=</w:t>
            </w:r>
            <w:r>
              <w:rPr>
                <w:rFonts w:hint="eastAsia" w:ascii="宋体" w:hAnsi="宋体" w:cs="宋体"/>
                <w:color w:val="000000"/>
                <w:sz w:val="21"/>
                <w:szCs w:val="21"/>
                <w:lang w:val="zh-CN" w:eastAsia="zh-CN"/>
              </w:rPr>
              <w:t>6</w:t>
            </w:r>
            <w:r>
              <w:rPr>
                <w:rFonts w:hint="eastAsia" w:ascii="宋体" w:hAnsi="宋体" w:cs="宋体"/>
                <w:color w:val="000000"/>
                <w:sz w:val="21"/>
                <w:szCs w:val="21"/>
                <w:lang w:val="en-US" w:eastAsia="zh-CN"/>
              </w:rPr>
              <w:t>期</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建立北京城市副中心绿色发展的监测评估机制，组织开展地方标准关于技术指标评审的有关工作，传播绿色发展理念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3193"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组织拟订并协调实施副中心固定资产投资支撑项目计划、副中心年度重点工程行动计划并协调落实</w:t>
            </w:r>
            <w:r>
              <w:rPr>
                <w:rFonts w:hint="eastAsia" w:ascii="宋体" w:hAnsi="宋体" w:cs="宋体"/>
                <w:color w:val="000000"/>
                <w:sz w:val="21"/>
                <w:szCs w:val="21"/>
                <w:lang w:eastAsia="zh-CN"/>
              </w:rPr>
              <w:t>。</w:t>
            </w:r>
          </w:p>
        </w:tc>
        <w:tc>
          <w:tcPr>
            <w:tcW w:w="213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谋划储备市级重大项目，接续支撑副中心每年千亿级投资规模</w:t>
            </w:r>
            <w:r>
              <w:rPr>
                <w:rFonts w:hint="eastAsia" w:ascii="宋体" w:hAnsi="宋体" w:cs="宋体"/>
                <w:color w:val="000000"/>
                <w:sz w:val="21"/>
                <w:szCs w:val="21"/>
                <w:lang w:eastAsia="zh-CN"/>
              </w:rPr>
              <w:t>。</w:t>
            </w:r>
          </w:p>
        </w:tc>
        <w:tc>
          <w:tcPr>
            <w:tcW w:w="355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形成本领域重大项目谋划清单、谋划项目论证报告等成果≥3项</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组织完成固定资产项投资委托评估论证项目≥5个</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eastAsia="zh-CN"/>
              </w:rPr>
            </w:pPr>
            <w:r>
              <w:rPr>
                <w:rFonts w:hint="eastAsia" w:ascii="宋体" w:hAnsi="宋体" w:cs="宋体"/>
                <w:color w:val="000000"/>
                <w:sz w:val="21"/>
                <w:szCs w:val="21"/>
                <w:lang w:val="en-US" w:eastAsia="zh-CN"/>
              </w:rPr>
              <w:t>优化项目储备布局，支撑社会经济发展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jc w:val="center"/>
        </w:trPr>
        <w:tc>
          <w:tcPr>
            <w:tcW w:w="57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3193"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组织拟订并协调实施副中心优化产业结构的相关规划和政策措施，协调推进重大产业项目引进</w:t>
            </w:r>
            <w:r>
              <w:rPr>
                <w:rFonts w:hint="eastAsia" w:ascii="宋体" w:hAnsi="宋体" w:cs="宋体"/>
                <w:color w:val="000000"/>
                <w:sz w:val="21"/>
                <w:szCs w:val="21"/>
                <w:lang w:eastAsia="zh-CN"/>
              </w:rPr>
              <w:t>，</w:t>
            </w:r>
            <w:r>
              <w:rPr>
                <w:rFonts w:hint="eastAsia" w:ascii="宋体" w:hAnsi="宋体" w:eastAsia="宋体" w:cs="宋体"/>
                <w:color w:val="000000"/>
                <w:sz w:val="21"/>
                <w:szCs w:val="21"/>
              </w:rPr>
              <w:t>负责文化旅游区旅游服务与管理、新闻宣传等日常管理工作</w:t>
            </w:r>
            <w:r>
              <w:rPr>
                <w:rFonts w:hint="eastAsia" w:ascii="宋体" w:hAnsi="宋体" w:cs="宋体"/>
                <w:color w:val="000000"/>
                <w:sz w:val="21"/>
                <w:szCs w:val="21"/>
                <w:lang w:eastAsia="zh-CN"/>
              </w:rPr>
              <w:t>。</w:t>
            </w:r>
          </w:p>
        </w:tc>
        <w:tc>
          <w:tcPr>
            <w:tcW w:w="213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优化产业生态，促进副中心产业升级</w:t>
            </w:r>
            <w:r>
              <w:rPr>
                <w:rFonts w:hint="eastAsia" w:ascii="宋体" w:hAnsi="宋体" w:cs="宋体"/>
                <w:color w:val="000000"/>
                <w:sz w:val="21"/>
                <w:szCs w:val="21"/>
                <w:lang w:eastAsia="zh-CN"/>
              </w:rPr>
              <w:t>。</w:t>
            </w:r>
          </w:p>
        </w:tc>
        <w:tc>
          <w:tcPr>
            <w:tcW w:w="355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eastAsia="zh-CN"/>
              </w:rPr>
            </w:pPr>
            <w:r>
              <w:rPr>
                <w:rFonts w:hint="eastAsia" w:ascii="宋体" w:hAnsi="宋体" w:cs="宋体"/>
                <w:color w:val="000000"/>
                <w:sz w:val="21"/>
                <w:szCs w:val="21"/>
                <w:lang w:eastAsia="zh-CN"/>
              </w:rPr>
              <w:t>开展重大项目招商推介活动</w:t>
            </w:r>
            <w:r>
              <w:rPr>
                <w:rFonts w:hint="eastAsia" w:ascii="宋体" w:hAnsi="宋体" w:cs="宋体"/>
                <w:color w:val="000000"/>
                <w:sz w:val="21"/>
                <w:szCs w:val="21"/>
                <w:lang w:val="en-US" w:eastAsia="zh-CN"/>
              </w:rPr>
              <w:t>=1场</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eastAsia="zh-CN"/>
              </w:rPr>
            </w:pPr>
            <w:r>
              <w:rPr>
                <w:rFonts w:hint="eastAsia" w:ascii="宋体" w:hAnsi="宋体" w:cs="宋体"/>
                <w:color w:val="000000"/>
                <w:sz w:val="21"/>
                <w:szCs w:val="21"/>
                <w:lang w:eastAsia="zh-CN"/>
              </w:rPr>
              <w:t>制作招商推介宣传片＝1部</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default" w:ascii="宋体" w:hAnsi="宋体" w:cs="宋体"/>
                <w:color w:val="000000"/>
                <w:sz w:val="21"/>
                <w:szCs w:val="21"/>
                <w:lang w:val="en-US" w:eastAsia="zh-CN"/>
              </w:rPr>
            </w:pPr>
            <w:r>
              <w:rPr>
                <w:rFonts w:hint="eastAsia" w:ascii="宋体" w:hAnsi="宋体" w:cs="宋体"/>
                <w:color w:val="000000"/>
                <w:sz w:val="21"/>
                <w:szCs w:val="21"/>
                <w:lang w:eastAsia="zh-CN"/>
              </w:rPr>
              <w:t>制定《文化旅游区产业发展规划及实施计划》成果</w:t>
            </w:r>
            <w:r>
              <w:rPr>
                <w:rFonts w:hint="eastAsia" w:ascii="宋体" w:hAnsi="宋体" w:cs="宋体"/>
                <w:color w:val="000000"/>
                <w:sz w:val="21"/>
                <w:szCs w:val="21"/>
                <w:lang w:val="en-US" w:eastAsia="zh-CN"/>
              </w:rPr>
              <w:t>=1份</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eastAsia="zh-CN"/>
              </w:rPr>
            </w:pPr>
            <w:r>
              <w:rPr>
                <w:rFonts w:hint="eastAsia" w:ascii="宋体" w:hAnsi="宋体" w:cs="宋体"/>
                <w:color w:val="000000"/>
                <w:sz w:val="21"/>
                <w:szCs w:val="21"/>
                <w:lang w:eastAsia="zh-CN"/>
              </w:rPr>
              <w:t>为招商引资提供助力，通过招商推介活动，吸引更多的外来资本和资源，为当地经济发展注入新的活力</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eastAsia="zh-CN"/>
              </w:rPr>
            </w:pPr>
            <w:r>
              <w:rPr>
                <w:rFonts w:hint="eastAsia" w:ascii="宋体" w:hAnsi="宋体" w:cs="宋体"/>
                <w:color w:val="000000"/>
                <w:sz w:val="21"/>
                <w:szCs w:val="21"/>
                <w:lang w:eastAsia="zh-CN"/>
              </w:rPr>
              <w:t>为产业用地招商引资提供助力，有利于进一步明确落地产业细分业态，避免产业产业同质化发展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w:t>
            </w:r>
          </w:p>
        </w:tc>
        <w:tc>
          <w:tcPr>
            <w:tcW w:w="3193"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负责副中心政务服务中心的建设、运行和管理，为副中心及北京东部地区提供综合政务服务</w:t>
            </w:r>
            <w:r>
              <w:rPr>
                <w:rFonts w:hint="eastAsia" w:ascii="宋体" w:hAnsi="宋体" w:cs="宋体"/>
                <w:color w:val="000000"/>
                <w:sz w:val="21"/>
                <w:szCs w:val="21"/>
                <w:lang w:eastAsia="zh-CN"/>
              </w:rPr>
              <w:t>，</w:t>
            </w:r>
            <w:r>
              <w:rPr>
                <w:rFonts w:hint="eastAsia" w:ascii="宋体" w:hAnsi="宋体" w:eastAsia="宋体" w:cs="宋体"/>
                <w:color w:val="000000"/>
                <w:sz w:val="21"/>
                <w:szCs w:val="21"/>
              </w:rPr>
              <w:t>落实京津冀政务跨省通办。</w:t>
            </w:r>
          </w:p>
        </w:tc>
        <w:tc>
          <w:tcPr>
            <w:tcW w:w="213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高水平保障副中心政务服务大厅运维</w:t>
            </w:r>
            <w:r>
              <w:rPr>
                <w:rFonts w:hint="eastAsia" w:ascii="宋体" w:hAnsi="宋体" w:cs="宋体"/>
                <w:color w:val="000000"/>
                <w:sz w:val="21"/>
                <w:szCs w:val="21"/>
                <w:lang w:eastAsia="zh-CN"/>
              </w:rPr>
              <w:t>和大厅信息化建设。</w:t>
            </w:r>
          </w:p>
        </w:tc>
        <w:tc>
          <w:tcPr>
            <w:tcW w:w="3557" w:type="dxa"/>
            <w:vAlign w:val="center"/>
          </w:tcPr>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与六里桥市政务服务中心材料互转次数≥528次</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大厅现场巡查及电子监督信息采集与汇总分析报告≥250份</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智能政务终端机使用数量=80台</w:t>
            </w:r>
          </w:p>
          <w:p>
            <w:pPr>
              <w:keepNext/>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每月网络安全攻防应急演练驻场次数≥1次</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构建覆盖网络威胁全生命周期的安</w:t>
            </w:r>
            <w:r>
              <w:rPr>
                <w:rFonts w:hint="eastAsia" w:ascii="宋体" w:hAnsi="宋体" w:eastAsia="宋体" w:cs="宋体"/>
                <w:color w:val="000000"/>
                <w:sz w:val="21"/>
                <w:szCs w:val="21"/>
                <w:lang w:val="en-US" w:eastAsia="zh-CN"/>
              </w:rPr>
              <w:t>全防护体系，提升网络安全能力</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确保</w:t>
            </w:r>
            <w:r>
              <w:rPr>
                <w:rFonts w:hint="eastAsia" w:ascii="宋体" w:hAnsi="宋体" w:eastAsia="宋体" w:cs="宋体"/>
                <w:color w:val="000000"/>
                <w:sz w:val="21"/>
                <w:szCs w:val="21"/>
                <w:lang w:val="en-US" w:eastAsia="zh-CN"/>
              </w:rPr>
              <w:t>政务服务中心统一消息平台及5G类智慧应用平稳运行</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为群众持续提供良好的工作办事条件，提升群众满意度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w:t>
            </w:r>
          </w:p>
        </w:tc>
        <w:tc>
          <w:tcPr>
            <w:tcW w:w="3193"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组织推进副中心规划建设管理各项工作，根据授权在副中心规划范围内行使有关市级管理权限</w:t>
            </w:r>
            <w:r>
              <w:rPr>
                <w:rFonts w:hint="eastAsia" w:ascii="宋体" w:hAnsi="宋体" w:cs="宋体"/>
                <w:color w:val="000000"/>
                <w:sz w:val="21"/>
                <w:szCs w:val="21"/>
                <w:lang w:eastAsia="zh-CN"/>
              </w:rPr>
              <w:t>。</w:t>
            </w:r>
          </w:p>
        </w:tc>
        <w:tc>
          <w:tcPr>
            <w:tcW w:w="213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rPr>
            </w:pPr>
            <w:r>
              <w:rPr>
                <w:rFonts w:hint="eastAsia" w:ascii="宋体" w:hAnsi="宋体" w:cs="宋体"/>
                <w:color w:val="000000"/>
                <w:sz w:val="21"/>
                <w:szCs w:val="21"/>
                <w:lang w:eastAsia="zh-CN"/>
              </w:rPr>
              <w:t>履行自然资源管理、建设管理领域等有关市级赋权职责。</w:t>
            </w:r>
          </w:p>
        </w:tc>
        <w:tc>
          <w:tcPr>
            <w:tcW w:w="355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开展房建和市政消防验收工作数量≥15个</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default" w:ascii="宋体" w:hAnsi="宋体" w:cs="宋体"/>
                <w:color w:val="000000"/>
                <w:sz w:val="21"/>
                <w:szCs w:val="21"/>
                <w:lang w:val="en-US" w:eastAsia="zh-CN"/>
              </w:rPr>
            </w:pPr>
            <w:r>
              <w:rPr>
                <w:rFonts w:hint="eastAsia" w:ascii="宋体" w:hAnsi="宋体" w:cs="宋体"/>
                <w:color w:val="000000"/>
                <w:sz w:val="21"/>
                <w:szCs w:val="21"/>
                <w:lang w:val="en-US" w:eastAsia="zh-CN"/>
              </w:rPr>
              <w:t>完成交通影响评价审核项目数量=24个</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举办提高领导干部依法行政能力专题培训班数量≥2个</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匹配区级申报项目完成城市副中心新增耕地复核验收</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匹配供地项目完成地价评估</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完成招拍挂项目公正和资金来源审计工作</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rPr>
            </w:pPr>
            <w:r>
              <w:rPr>
                <w:rFonts w:hint="eastAsia" w:ascii="宋体" w:hAnsi="宋体" w:cs="宋体"/>
                <w:color w:val="000000"/>
                <w:sz w:val="21"/>
                <w:szCs w:val="21"/>
                <w:lang w:val="en-US" w:eastAsia="zh-CN"/>
              </w:rPr>
              <w:t>聘请专家提供技术评审服务，协助履行市级赋权事项审批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57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3193"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组织实施副中心控制性详细规划</w:t>
            </w:r>
            <w:r>
              <w:rPr>
                <w:rFonts w:hint="eastAsia" w:ascii="宋体" w:hAnsi="宋体" w:cs="宋体"/>
                <w:color w:val="000000"/>
                <w:sz w:val="21"/>
                <w:szCs w:val="21"/>
                <w:lang w:eastAsia="zh-CN"/>
              </w:rPr>
              <w:t>，组织制定相关规划、计划和政策标准并协调落实</w:t>
            </w:r>
            <w:r>
              <w:rPr>
                <w:rFonts w:hint="eastAsia" w:ascii="宋体" w:hAnsi="宋体" w:eastAsia="宋体" w:cs="宋体"/>
                <w:color w:val="000000"/>
                <w:sz w:val="21"/>
                <w:szCs w:val="21"/>
              </w:rPr>
              <w:t>。</w:t>
            </w:r>
          </w:p>
        </w:tc>
        <w:tc>
          <w:tcPr>
            <w:tcW w:w="213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center"/>
              <w:textAlignment w:val="auto"/>
              <w:rPr>
                <w:rFonts w:hint="eastAsia" w:ascii="宋体" w:hAnsi="宋体" w:eastAsia="宋体" w:cs="宋体"/>
                <w:color w:val="000000"/>
                <w:kern w:val="2"/>
                <w:sz w:val="21"/>
                <w:szCs w:val="21"/>
              </w:rPr>
            </w:pPr>
            <w:r>
              <w:rPr>
                <w:rFonts w:hint="eastAsia" w:ascii="宋体" w:hAnsi="宋体" w:cs="宋体"/>
                <w:color w:val="000000"/>
                <w:sz w:val="21"/>
                <w:szCs w:val="21"/>
                <w:lang w:eastAsia="zh-CN"/>
              </w:rPr>
              <w:t>组织实施</w:t>
            </w:r>
            <w:r>
              <w:rPr>
                <w:rFonts w:hint="eastAsia" w:ascii="宋体" w:hAnsi="宋体" w:eastAsia="宋体" w:cs="宋体"/>
                <w:color w:val="000000"/>
                <w:sz w:val="21"/>
                <w:szCs w:val="21"/>
              </w:rPr>
              <w:t>副中心空间规划管理</w:t>
            </w:r>
            <w:r>
              <w:rPr>
                <w:rFonts w:hint="eastAsia" w:ascii="宋体" w:hAnsi="宋体" w:cs="宋体"/>
                <w:color w:val="000000"/>
                <w:sz w:val="21"/>
                <w:szCs w:val="21"/>
                <w:lang w:eastAsia="zh-CN"/>
              </w:rPr>
              <w:t>、</w:t>
            </w:r>
            <w:r>
              <w:rPr>
                <w:rFonts w:hint="eastAsia" w:ascii="宋体" w:hAnsi="宋体" w:eastAsia="宋体" w:cs="宋体"/>
                <w:color w:val="000000"/>
                <w:sz w:val="21"/>
                <w:szCs w:val="21"/>
              </w:rPr>
              <w:t>副中心规划实施工作，深入落实副中心控规。</w:t>
            </w:r>
          </w:p>
        </w:tc>
        <w:tc>
          <w:tcPr>
            <w:tcW w:w="3557" w:type="dxa"/>
            <w:vAlign w:val="center"/>
          </w:tcPr>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制定通州区与北三县一体化高质量发展示范区综合交通体系规划=1份</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城市副中心战略留白用地评估及管理对策=1份</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制定北京城市副中心建设工程规划设计技术指引（2024年度)=1份</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北京城市副中心规划设计导则实施评估=1份</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完成北京城市副中心立法调研论证报告成果=1份</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0" w:lineRule="atLeast"/>
              <w:jc w:val="left"/>
              <w:textAlignment w:val="auto"/>
              <w:rPr>
                <w:rFonts w:hint="eastAsia" w:eastAsia="宋体"/>
                <w:lang w:eastAsia="zh-CN"/>
              </w:rPr>
            </w:pPr>
            <w:r>
              <w:rPr>
                <w:rFonts w:hint="eastAsia" w:ascii="宋体" w:hAnsi="宋体" w:cs="宋体"/>
                <w:color w:val="000000"/>
                <w:kern w:val="2"/>
                <w:sz w:val="21"/>
                <w:szCs w:val="21"/>
                <w:lang w:val="en-US" w:eastAsia="zh-CN" w:bidi="ar-SA"/>
              </w:rPr>
              <w:t>开展城市建设、文化旅游区管理等课题研究≥5项</w:t>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50" w:lineRule="exact"/>
        <w:ind w:firstLine="640" w:firstLineChars="20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50" w:lineRule="exact"/>
        <w:ind w:firstLine="640" w:firstLineChars="200"/>
        <w:textAlignment w:val="auto"/>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年全年预算数10247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1</w:t>
      </w:r>
      <w:r>
        <w:rPr>
          <w:rFonts w:hint="eastAsia" w:ascii="仿宋_GB2312" w:hAnsi="宋体" w:eastAsia="仿宋_GB2312" w:cs="宋体"/>
          <w:color w:val="000000"/>
          <w:kern w:val="0"/>
          <w:sz w:val="32"/>
          <w:szCs w:val="32"/>
          <w:highlight w:val="none"/>
          <w:lang w:val="en-US" w:eastAsia="zh-CN"/>
        </w:rPr>
        <w:t>7</w:t>
      </w:r>
      <w:r>
        <w:rPr>
          <w:rFonts w:hint="eastAsia" w:ascii="仿宋_GB2312" w:hAnsi="宋体" w:eastAsia="仿宋_GB2312" w:cs="宋体"/>
          <w:color w:val="000000"/>
          <w:kern w:val="0"/>
          <w:sz w:val="32"/>
          <w:szCs w:val="32"/>
          <w:highlight w:val="none"/>
        </w:rPr>
        <w:t>万元，其中，基本支出预算数3510</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万元，项目支出预算数6736</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5</w:t>
      </w:r>
      <w:r>
        <w:rPr>
          <w:rFonts w:hint="eastAsia" w:ascii="仿宋_GB2312" w:hAnsi="宋体" w:eastAsia="仿宋_GB2312" w:cs="宋体"/>
          <w:color w:val="000000"/>
          <w:kern w:val="0"/>
          <w:sz w:val="32"/>
          <w:szCs w:val="32"/>
          <w:highlight w:val="none"/>
          <w:lang w:val="en-US" w:eastAsia="zh-CN"/>
        </w:rPr>
        <w:t>5</w:t>
      </w:r>
      <w:r>
        <w:rPr>
          <w:rFonts w:hint="eastAsia" w:ascii="仿宋_GB2312" w:hAnsi="宋体" w:eastAsia="仿宋_GB2312" w:cs="宋体"/>
          <w:color w:val="000000"/>
          <w:kern w:val="0"/>
          <w:sz w:val="32"/>
          <w:szCs w:val="32"/>
          <w:highlight w:val="none"/>
        </w:rPr>
        <w:t>万元。资金总体支出10247</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1</w:t>
      </w:r>
      <w:r>
        <w:rPr>
          <w:rFonts w:hint="eastAsia" w:ascii="仿宋_GB2312" w:hAnsi="宋体" w:eastAsia="仿宋_GB2312" w:cs="宋体"/>
          <w:color w:val="000000"/>
          <w:kern w:val="0"/>
          <w:sz w:val="32"/>
          <w:szCs w:val="32"/>
          <w:highlight w:val="none"/>
          <w:lang w:val="en-US" w:eastAsia="zh-CN"/>
        </w:rPr>
        <w:t>7</w:t>
      </w:r>
      <w:r>
        <w:rPr>
          <w:rFonts w:hint="eastAsia" w:ascii="仿宋_GB2312" w:hAnsi="宋体" w:eastAsia="仿宋_GB2312" w:cs="宋体"/>
          <w:color w:val="000000"/>
          <w:kern w:val="0"/>
          <w:sz w:val="32"/>
          <w:szCs w:val="32"/>
          <w:highlight w:val="none"/>
        </w:rPr>
        <w:t>万元，其中，基本支出3510</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6</w:t>
      </w: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万元，项目支出6736</w:t>
      </w:r>
      <w:r>
        <w:rPr>
          <w:rFonts w:hint="eastAsia" w:ascii="仿宋_GB2312" w:hAnsi="宋体" w:eastAsia="仿宋_GB2312" w:cs="宋体"/>
          <w:color w:val="000000"/>
          <w:kern w:val="0"/>
          <w:sz w:val="32"/>
          <w:szCs w:val="32"/>
          <w:highlight w:val="none"/>
          <w:lang w:val="en-US" w:eastAsia="zh-CN"/>
        </w:rPr>
        <w:t>.</w:t>
      </w:r>
      <w:r>
        <w:rPr>
          <w:rFonts w:hint="eastAsia" w:ascii="仿宋_GB2312" w:hAnsi="宋体" w:eastAsia="仿宋_GB2312" w:cs="宋体"/>
          <w:color w:val="000000"/>
          <w:kern w:val="0"/>
          <w:sz w:val="32"/>
          <w:szCs w:val="32"/>
          <w:highlight w:val="none"/>
        </w:rPr>
        <w:t>5</w:t>
      </w:r>
      <w:r>
        <w:rPr>
          <w:rFonts w:hint="eastAsia" w:ascii="仿宋_GB2312" w:hAnsi="宋体" w:eastAsia="仿宋_GB2312" w:cs="宋体"/>
          <w:color w:val="000000"/>
          <w:kern w:val="0"/>
          <w:sz w:val="32"/>
          <w:szCs w:val="32"/>
          <w:highlight w:val="none"/>
          <w:lang w:val="en-US" w:eastAsia="zh-CN"/>
        </w:rPr>
        <w:t>5</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kern w:val="0"/>
          <w:sz w:val="32"/>
          <w:szCs w:val="32"/>
          <w:highlight w:val="none"/>
        </w:rPr>
        <w:t>预算执行率为</w:t>
      </w:r>
      <w:r>
        <w:rPr>
          <w:rFonts w:hint="eastAsia" w:ascii="仿宋_GB2312" w:hAnsi="宋体" w:eastAsia="仿宋_GB2312" w:cs="宋体"/>
          <w:kern w:val="0"/>
          <w:sz w:val="32"/>
          <w:szCs w:val="32"/>
          <w:highlight w:val="none"/>
          <w:lang w:val="en-US" w:eastAsia="zh-CN"/>
        </w:rPr>
        <w:t>100</w:t>
      </w:r>
      <w:r>
        <w:rPr>
          <w:rFonts w:hint="eastAsia" w:ascii="仿宋_GB2312" w:hAnsi="宋体" w:eastAsia="仿宋_GB2312" w:cs="宋体"/>
          <w:kern w:val="0"/>
          <w:sz w:val="32"/>
          <w:szCs w:val="32"/>
          <w:highlight w:val="none"/>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5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5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2024年，北京城市副中心管理委员会深入贯彻落实中央和市委市政府各项工作部署，统筹规划、系统推进，聚焦“二十年之问”抓好规划建设</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副中心</w:t>
      </w:r>
      <w:r>
        <w:rPr>
          <w:rFonts w:hint="eastAsia" w:ascii="仿宋_GB2312" w:hAnsi="宋体" w:eastAsia="仿宋_GB2312" w:cs="宋体"/>
          <w:color w:val="000000"/>
          <w:kern w:val="0"/>
          <w:sz w:val="32"/>
          <w:szCs w:val="32"/>
          <w:highlight w:val="none"/>
          <w:lang w:eastAsia="zh-CN"/>
        </w:rPr>
        <w:t>发展取得新成效。</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50" w:lineRule="exact"/>
        <w:ind w:firstLine="640" w:firstLineChars="200"/>
        <w:textAlignment w:val="auto"/>
        <w:rPr>
          <w:rFonts w:ascii="楷体_GB2312" w:eastAsia="楷体_GB2312"/>
          <w:sz w:val="32"/>
          <w:szCs w:val="32"/>
        </w:rPr>
      </w:pPr>
      <w:r>
        <w:rPr>
          <w:rFonts w:hint="eastAsia" w:ascii="楷体_GB2312" w:eastAsia="楷体_GB2312"/>
          <w:sz w:val="32"/>
          <w:szCs w:val="32"/>
        </w:rPr>
        <w:t>（一）</w:t>
      </w:r>
      <w:r>
        <w:rPr>
          <w:rFonts w:ascii="楷体_GB2312" w:eastAsia="楷体_GB2312"/>
          <w:sz w:val="32"/>
          <w:szCs w:val="32"/>
        </w:rPr>
        <w:t>产出完成情况分析</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5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1.产出</w:t>
      </w:r>
      <w:r>
        <w:rPr>
          <w:rFonts w:ascii="仿宋_GB2312" w:hAnsi="宋体" w:eastAsia="仿宋_GB2312" w:cs="宋体"/>
          <w:color w:val="000000"/>
          <w:kern w:val="0"/>
          <w:sz w:val="32"/>
          <w:szCs w:val="32"/>
          <w:highlight w:val="none"/>
        </w:rPr>
        <w:t>数量</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50" w:lineRule="exact"/>
        <w:ind w:firstLine="642" w:firstLineChars="200"/>
        <w:textAlignment w:val="auto"/>
      </w:pPr>
      <w:r>
        <w:rPr>
          <w:rFonts w:hint="eastAsia" w:ascii="仿宋_GB2312" w:hAnsi="宋体" w:eastAsia="仿宋_GB2312" w:cs="宋体"/>
          <w:b/>
          <w:color w:val="000000"/>
          <w:kern w:val="0"/>
          <w:sz w:val="32"/>
          <w:szCs w:val="32"/>
        </w:rPr>
        <w:t>一是</w:t>
      </w:r>
      <w:r>
        <w:rPr>
          <w:rFonts w:hint="eastAsia" w:ascii="仿宋_GB2312" w:hAnsi="宋体" w:eastAsia="仿宋_GB2312" w:cs="宋体"/>
          <w:b w:val="0"/>
          <w:bCs/>
          <w:color w:val="000000"/>
          <w:kern w:val="0"/>
          <w:sz w:val="32"/>
          <w:szCs w:val="32"/>
          <w:lang w:eastAsia="zh-CN"/>
        </w:rPr>
        <w:t>协调推进副中心绿色发展示范区建设和高质量发展，</w:t>
      </w:r>
      <w:r>
        <w:rPr>
          <w:rFonts w:hint="eastAsia" w:ascii="仿宋_GB2312" w:hAnsi="宋体" w:eastAsia="仿宋_GB2312" w:cs="宋体"/>
          <w:b w:val="0"/>
          <w:bCs/>
          <w:color w:val="000000"/>
          <w:kern w:val="0"/>
          <w:sz w:val="32"/>
          <w:szCs w:val="32"/>
          <w:lang w:val="en-US" w:eastAsia="zh-CN"/>
        </w:rPr>
        <w:t>形成《北京城市副中心绿色发展监测评估研究报告》《北京城市副中心绿色发展年度报告（2023年度）》，制定《北京城市副中心绿色发展标准体系建设行动方案》，</w:t>
      </w:r>
      <w:r>
        <w:rPr>
          <w:rFonts w:hint="eastAsia" w:ascii="仿宋_GB2312" w:hAnsi="宋体" w:eastAsia="仿宋_GB2312" w:cs="宋体"/>
          <w:b w:val="0"/>
          <w:bCs/>
          <w:color w:val="000000"/>
          <w:kern w:val="0"/>
          <w:sz w:val="32"/>
          <w:szCs w:val="32"/>
          <w:highlight w:val="none"/>
          <w:lang w:val="en-US" w:eastAsia="zh-CN"/>
        </w:rPr>
        <w:t>总结形成《北京城市副中心高质量发展阶段性评估报告》和5篇高质量发展专题研究报告，</w:t>
      </w:r>
      <w:r>
        <w:rPr>
          <w:rFonts w:hint="eastAsia" w:ascii="仿宋_GB2312" w:hAnsi="宋体" w:eastAsia="仿宋_GB2312" w:cs="宋体"/>
          <w:b w:val="0"/>
          <w:bCs/>
          <w:color w:val="000000"/>
          <w:kern w:val="0"/>
          <w:sz w:val="32"/>
          <w:szCs w:val="32"/>
          <w:lang w:val="en-US" w:eastAsia="zh-CN"/>
        </w:rPr>
        <w:t>举办2024年北京城市副中心绿色发展论坛，更新1期副中心宣传片，制作6期宣传短视频。</w:t>
      </w:r>
      <w:r>
        <w:rPr>
          <w:rFonts w:hint="eastAsia" w:ascii="仿宋_GB2312" w:hAnsi="宋体" w:eastAsia="仿宋_GB2312" w:cs="宋体"/>
          <w:b/>
          <w:bCs w:val="0"/>
          <w:color w:val="000000"/>
          <w:kern w:val="0"/>
          <w:sz w:val="32"/>
          <w:szCs w:val="32"/>
          <w:lang w:eastAsia="zh-CN"/>
        </w:rPr>
        <w:t>二</w:t>
      </w:r>
      <w:r>
        <w:rPr>
          <w:rFonts w:hint="eastAsia" w:ascii="仿宋_GB2312" w:hAnsi="宋体" w:eastAsia="仿宋_GB2312" w:cs="宋体"/>
          <w:b/>
          <w:bCs w:val="0"/>
          <w:color w:val="000000"/>
          <w:kern w:val="0"/>
          <w:sz w:val="32"/>
          <w:szCs w:val="32"/>
        </w:rPr>
        <w:t>是</w:t>
      </w:r>
      <w:r>
        <w:rPr>
          <w:rFonts w:hint="eastAsia" w:ascii="仿宋_GB2312" w:hAnsi="宋体" w:eastAsia="仿宋_GB2312" w:cs="宋体"/>
          <w:b w:val="0"/>
          <w:bCs/>
          <w:color w:val="000000"/>
          <w:kern w:val="0"/>
          <w:sz w:val="32"/>
          <w:szCs w:val="32"/>
          <w:lang w:eastAsia="zh-CN"/>
        </w:rPr>
        <w:t>谋划储备市级重大项目，</w:t>
      </w:r>
      <w:r>
        <w:rPr>
          <w:rFonts w:hint="eastAsia" w:ascii="仿宋_GB2312" w:hAnsi="宋体" w:eastAsia="仿宋_GB2312" w:cs="宋体"/>
          <w:b w:val="0"/>
          <w:bCs/>
          <w:color w:val="000000"/>
          <w:kern w:val="0"/>
          <w:sz w:val="32"/>
          <w:szCs w:val="32"/>
          <w:lang w:val="en-US" w:eastAsia="zh-CN"/>
        </w:rPr>
        <w:t>形成城市副中心155平方公里范围内重大投资、城市副中心产业领域重大投资、城市副中心国家绿色发展示范区基础设施重大投资等3项项目谋划清单及论证报告成果，组织完成张家湾大街（东六环西侧路-张采路）道路工程等5个项目固定资产投资评估论证</w:t>
      </w:r>
      <w:r>
        <w:rPr>
          <w:rFonts w:hint="eastAsia" w:ascii="仿宋_GB2312" w:hAnsi="宋体" w:eastAsia="仿宋_GB2312" w:cs="宋体"/>
          <w:b w:val="0"/>
          <w:bCs/>
          <w:color w:val="000000"/>
          <w:kern w:val="0"/>
          <w:sz w:val="32"/>
          <w:szCs w:val="32"/>
          <w:lang w:eastAsia="zh-CN"/>
        </w:rPr>
        <w:t>。</w:t>
      </w:r>
      <w:r>
        <w:rPr>
          <w:rFonts w:hint="eastAsia" w:ascii="仿宋_GB2312" w:hAnsi="宋体" w:eastAsia="仿宋_GB2312" w:cs="宋体"/>
          <w:b/>
          <w:bCs w:val="0"/>
          <w:color w:val="000000"/>
          <w:kern w:val="0"/>
          <w:sz w:val="32"/>
          <w:szCs w:val="32"/>
          <w:lang w:eastAsia="zh-CN"/>
        </w:rPr>
        <w:t>三是</w:t>
      </w:r>
      <w:r>
        <w:rPr>
          <w:rFonts w:hint="eastAsia" w:ascii="仿宋_GB2312" w:hAnsi="宋体" w:eastAsia="仿宋_GB2312" w:cs="宋体"/>
          <w:b w:val="0"/>
          <w:bCs/>
          <w:color w:val="000000"/>
          <w:kern w:val="0"/>
          <w:sz w:val="32"/>
          <w:szCs w:val="32"/>
          <w:lang w:eastAsia="zh-CN"/>
        </w:rPr>
        <w:t>优化产业生态，</w:t>
      </w:r>
      <w:r>
        <w:rPr>
          <w:rFonts w:hint="eastAsia" w:ascii="仿宋_GB2312" w:hAnsi="宋体" w:eastAsia="仿宋_GB2312" w:cs="宋体"/>
          <w:b w:val="0"/>
          <w:bCs/>
          <w:color w:val="000000"/>
          <w:kern w:val="0"/>
          <w:sz w:val="32"/>
          <w:szCs w:val="32"/>
          <w:lang w:val="en-US" w:eastAsia="zh-CN"/>
        </w:rPr>
        <w:t>开展“无界文旅 择新领航”北京城市副中心文化旅游区主题活动</w:t>
      </w:r>
      <w:r>
        <w:rPr>
          <w:rFonts w:hint="eastAsia" w:ascii="仿宋_GB2312" w:hAnsi="宋体" w:eastAsia="仿宋_GB2312" w:cs="宋体"/>
          <w:b w:val="0"/>
          <w:bCs/>
          <w:color w:val="000000"/>
          <w:kern w:val="0"/>
          <w:sz w:val="32"/>
          <w:szCs w:val="32"/>
          <w:lang w:eastAsia="zh-CN"/>
        </w:rPr>
        <w:t>，制作</w:t>
      </w:r>
      <w:r>
        <w:rPr>
          <w:rFonts w:hint="eastAsia" w:ascii="仿宋_GB2312" w:hAnsi="宋体" w:eastAsia="仿宋_GB2312" w:cs="宋体"/>
          <w:b w:val="0"/>
          <w:bCs/>
          <w:color w:val="000000"/>
          <w:kern w:val="0"/>
          <w:sz w:val="32"/>
          <w:szCs w:val="32"/>
          <w:lang w:val="en-US" w:eastAsia="zh-CN"/>
        </w:rPr>
        <w:t>1部</w:t>
      </w:r>
      <w:r>
        <w:rPr>
          <w:rFonts w:hint="eastAsia" w:ascii="仿宋_GB2312" w:hAnsi="宋体" w:eastAsia="仿宋_GB2312" w:cs="宋体"/>
          <w:b w:val="0"/>
          <w:bCs/>
          <w:color w:val="000000"/>
          <w:kern w:val="0"/>
          <w:sz w:val="32"/>
          <w:szCs w:val="32"/>
          <w:lang w:eastAsia="zh-CN"/>
        </w:rPr>
        <w:t>招商推介宣传片，形成《文化旅游区产业发展规划及实施计划》</w:t>
      </w:r>
      <w:r>
        <w:rPr>
          <w:rFonts w:hint="eastAsia" w:ascii="仿宋_GB2312" w:hAnsi="宋体" w:eastAsia="仿宋_GB2312" w:cs="宋体"/>
          <w:b w:val="0"/>
          <w:bCs/>
          <w:color w:val="000000"/>
          <w:kern w:val="0"/>
          <w:sz w:val="32"/>
          <w:szCs w:val="32"/>
          <w:lang w:val="en-US" w:eastAsia="zh-CN"/>
        </w:rPr>
        <w:t>研究成果</w:t>
      </w:r>
      <w:r>
        <w:rPr>
          <w:rFonts w:hint="eastAsia" w:ascii="仿宋_GB2312" w:hAnsi="宋体" w:eastAsia="仿宋_GB2312" w:cs="宋体"/>
          <w:b w:val="0"/>
          <w:bCs/>
          <w:color w:val="000000"/>
          <w:kern w:val="0"/>
          <w:sz w:val="32"/>
          <w:szCs w:val="32"/>
          <w:lang w:eastAsia="zh-CN"/>
        </w:rPr>
        <w:t>。</w:t>
      </w:r>
      <w:r>
        <w:rPr>
          <w:rFonts w:hint="eastAsia" w:ascii="仿宋_GB2312" w:hAnsi="宋体" w:eastAsia="仿宋_GB2312" w:cs="宋体"/>
          <w:b/>
          <w:bCs w:val="0"/>
          <w:color w:val="000000"/>
          <w:kern w:val="0"/>
          <w:sz w:val="32"/>
          <w:szCs w:val="32"/>
          <w:lang w:eastAsia="zh-CN"/>
        </w:rPr>
        <w:t>四是</w:t>
      </w:r>
      <w:r>
        <w:rPr>
          <w:rFonts w:hint="eastAsia" w:ascii="仿宋_GB2312" w:hAnsi="宋体" w:eastAsia="仿宋_GB2312" w:cs="宋体"/>
          <w:b w:val="0"/>
          <w:bCs/>
          <w:color w:val="000000"/>
          <w:kern w:val="0"/>
          <w:sz w:val="32"/>
          <w:szCs w:val="32"/>
          <w:lang w:eastAsia="zh-CN"/>
        </w:rPr>
        <w:t>高水平保障副中心政务服务大厅运维，租赁</w:t>
      </w:r>
      <w:r>
        <w:rPr>
          <w:rFonts w:hint="eastAsia" w:ascii="仿宋_GB2312" w:hAnsi="宋体" w:eastAsia="仿宋_GB2312" w:cs="宋体"/>
          <w:b w:val="0"/>
          <w:bCs/>
          <w:color w:val="000000"/>
          <w:kern w:val="0"/>
          <w:sz w:val="32"/>
          <w:szCs w:val="32"/>
          <w:lang w:val="en-US" w:eastAsia="zh-CN"/>
        </w:rPr>
        <w:t>80台智能服务终端设备，每月开展1次网络安全攻防应急演练，全</w:t>
      </w:r>
      <w:r>
        <w:rPr>
          <w:rFonts w:hint="eastAsia" w:ascii="仿宋_GB2312" w:hAnsi="宋体" w:eastAsia="仿宋_GB2312" w:cs="宋体"/>
          <w:b w:val="0"/>
          <w:bCs/>
          <w:color w:val="000000"/>
          <w:kern w:val="0"/>
          <w:sz w:val="32"/>
          <w:szCs w:val="32"/>
          <w:lang w:eastAsia="zh-CN"/>
        </w:rPr>
        <w:t>年</w:t>
      </w:r>
      <w:r>
        <w:rPr>
          <w:rFonts w:hint="eastAsia" w:ascii="仿宋_GB2312" w:hAnsi="宋体" w:eastAsia="仿宋_GB2312" w:cs="宋体"/>
          <w:b w:val="0"/>
          <w:bCs/>
          <w:color w:val="000000"/>
          <w:kern w:val="0"/>
          <w:sz w:val="32"/>
          <w:szCs w:val="32"/>
          <w:lang w:val="en-US" w:eastAsia="zh-CN"/>
        </w:rPr>
        <w:t>形成大厅现场巡查及电子监督信息采集与汇总分析报告251份，</w:t>
      </w:r>
      <w:r>
        <w:rPr>
          <w:rFonts w:hint="eastAsia" w:ascii="仿宋_GB2312" w:hAnsi="宋体" w:eastAsia="仿宋_GB2312" w:cs="宋体"/>
          <w:b w:val="0"/>
          <w:bCs/>
          <w:color w:val="000000"/>
          <w:kern w:val="0"/>
          <w:sz w:val="32"/>
          <w:szCs w:val="32"/>
          <w:lang w:eastAsia="zh-CN"/>
        </w:rPr>
        <w:t>与六里桥政务服务中心材料流转</w:t>
      </w:r>
      <w:r>
        <w:rPr>
          <w:rFonts w:hint="eastAsia" w:ascii="仿宋_GB2312" w:hAnsi="宋体" w:eastAsia="仿宋_GB2312" w:cs="宋体"/>
          <w:b w:val="0"/>
          <w:bCs/>
          <w:color w:val="000000"/>
          <w:kern w:val="0"/>
          <w:sz w:val="32"/>
          <w:szCs w:val="32"/>
          <w:lang w:val="en-US" w:eastAsia="zh-CN"/>
        </w:rPr>
        <w:t>544趟。</w:t>
      </w:r>
      <w:r>
        <w:rPr>
          <w:rFonts w:hint="eastAsia" w:ascii="仿宋_GB2312" w:hAnsi="宋体" w:eastAsia="仿宋_GB2312" w:cs="宋体"/>
          <w:b/>
          <w:bCs w:val="0"/>
          <w:color w:val="000000"/>
          <w:kern w:val="0"/>
          <w:sz w:val="32"/>
          <w:szCs w:val="32"/>
          <w:lang w:eastAsia="zh-CN"/>
        </w:rPr>
        <w:t>五是</w:t>
      </w:r>
      <w:r>
        <w:rPr>
          <w:rFonts w:hint="eastAsia" w:ascii="仿宋_GB2312" w:hAnsi="宋体" w:eastAsia="仿宋_GB2312" w:cs="宋体"/>
          <w:b w:val="0"/>
          <w:bCs/>
          <w:color w:val="000000"/>
          <w:kern w:val="0"/>
          <w:sz w:val="32"/>
          <w:szCs w:val="32"/>
          <w:lang w:eastAsia="zh-CN"/>
        </w:rPr>
        <w:t>行使市级管理权限，</w:t>
      </w:r>
      <w:r>
        <w:rPr>
          <w:rFonts w:hint="eastAsia" w:ascii="仿宋_GB2312" w:hAnsi="宋体" w:eastAsia="仿宋_GB2312" w:cs="宋体"/>
          <w:b w:val="0"/>
          <w:bCs/>
          <w:color w:val="000000"/>
          <w:kern w:val="0"/>
          <w:sz w:val="32"/>
          <w:szCs w:val="32"/>
          <w:highlight w:val="none"/>
          <w:lang w:eastAsia="zh-CN"/>
        </w:rPr>
        <w:t>开展房建和市政消防验收工作数量</w:t>
      </w:r>
      <w:r>
        <w:rPr>
          <w:rFonts w:hint="eastAsia" w:ascii="仿宋_GB2312" w:hAnsi="宋体" w:eastAsia="仿宋_GB2312" w:cs="宋体"/>
          <w:b w:val="0"/>
          <w:bCs/>
          <w:color w:val="000000"/>
          <w:kern w:val="0"/>
          <w:sz w:val="32"/>
          <w:szCs w:val="32"/>
          <w:highlight w:val="none"/>
          <w:lang w:val="en-US" w:eastAsia="zh-CN"/>
        </w:rPr>
        <w:t>17</w:t>
      </w:r>
      <w:r>
        <w:rPr>
          <w:rFonts w:hint="eastAsia" w:ascii="仿宋_GB2312" w:hAnsi="宋体" w:eastAsia="仿宋_GB2312" w:cs="宋体"/>
          <w:b w:val="0"/>
          <w:bCs/>
          <w:color w:val="000000"/>
          <w:kern w:val="0"/>
          <w:sz w:val="32"/>
          <w:szCs w:val="32"/>
          <w:highlight w:val="none"/>
          <w:lang w:eastAsia="zh-CN"/>
        </w:rPr>
        <w:t>个、交通影响评价审核项目数量24个，完成13个供地项目的地价评估、1363亩耕地验收、2个住宅项目资金来源审计，举办提高领导干部依法行政能力专题培训班数量2个。</w:t>
      </w:r>
      <w:r>
        <w:rPr>
          <w:rFonts w:hint="eastAsia" w:ascii="仿宋_GB2312" w:hAnsi="宋体" w:eastAsia="仿宋_GB2312" w:cs="宋体"/>
          <w:b/>
          <w:bCs w:val="0"/>
          <w:color w:val="000000"/>
          <w:kern w:val="0"/>
          <w:sz w:val="32"/>
          <w:szCs w:val="32"/>
          <w:lang w:eastAsia="zh-CN"/>
        </w:rPr>
        <w:t>六是</w:t>
      </w:r>
      <w:r>
        <w:rPr>
          <w:rFonts w:hint="eastAsia" w:ascii="仿宋_GB2312" w:hAnsi="宋体" w:eastAsia="仿宋_GB2312" w:cs="宋体"/>
          <w:b w:val="0"/>
          <w:bCs/>
          <w:color w:val="000000"/>
          <w:kern w:val="0"/>
          <w:sz w:val="32"/>
          <w:szCs w:val="32"/>
          <w:lang w:eastAsia="zh-CN"/>
        </w:rPr>
        <w:t>组织制定副中心规划计划，形成《制定通州区与北三县一体化高质量发展示范区综合交通体系规划》《城市副中心战略留白用地评估及管理对策》《北京城市副中心建设工程规划设计技术指引（2024年度)》《北京城市副中心规划设计导则实施评估》</w:t>
      </w:r>
      <w:r>
        <w:rPr>
          <w:rFonts w:hint="eastAsia" w:ascii="仿宋_GB2312" w:hAnsi="宋体" w:eastAsia="仿宋_GB2312" w:cs="宋体"/>
          <w:b w:val="0"/>
          <w:bCs/>
          <w:color w:val="000000"/>
          <w:kern w:val="0"/>
          <w:sz w:val="32"/>
          <w:szCs w:val="32"/>
          <w:lang w:val="en-US" w:eastAsia="zh-CN"/>
        </w:rPr>
        <w:t>4项规划编制及实施成果，形成</w:t>
      </w:r>
      <w:r>
        <w:rPr>
          <w:rFonts w:hint="eastAsia" w:ascii="仿宋_GB2312" w:hAnsi="宋体" w:eastAsia="仿宋_GB2312" w:cs="宋体"/>
          <w:b w:val="0"/>
          <w:bCs/>
          <w:color w:val="000000"/>
          <w:kern w:val="0"/>
          <w:sz w:val="32"/>
          <w:szCs w:val="32"/>
          <w:lang w:eastAsia="zh-CN"/>
        </w:rPr>
        <w:t>《北京城市副中心立法调研论证报告》，形成《城市副中心（通州区）职住关系和住房价格特征研究》《张家湾设计小镇数字化专项规划研究》《城市副中心建设管理条例立法调研》《北京城市副中心文化旅游区意向企业准入管理服务办法》《文化旅游区产业发展规划及实施计划》</w:t>
      </w:r>
      <w:r>
        <w:rPr>
          <w:rFonts w:hint="eastAsia" w:ascii="仿宋_GB2312" w:hAnsi="宋体" w:eastAsia="仿宋_GB2312" w:cs="宋体"/>
          <w:b w:val="0"/>
          <w:bCs/>
          <w:color w:val="000000"/>
          <w:kern w:val="0"/>
          <w:sz w:val="32"/>
          <w:szCs w:val="32"/>
          <w:lang w:val="en-US" w:eastAsia="zh-CN"/>
        </w:rPr>
        <w:t>5</w:t>
      </w:r>
      <w:r>
        <w:rPr>
          <w:rFonts w:hint="eastAsia" w:ascii="仿宋_GB2312" w:hAnsi="宋体" w:eastAsia="仿宋_GB2312" w:cs="宋体"/>
          <w:b w:val="0"/>
          <w:bCs/>
          <w:color w:val="000000"/>
          <w:kern w:val="0"/>
          <w:sz w:val="32"/>
          <w:szCs w:val="32"/>
          <w:lang w:eastAsia="zh-CN"/>
        </w:rPr>
        <w:t>项研究报告</w:t>
      </w:r>
      <w:r>
        <w:rPr>
          <w:rFonts w:hint="eastAsia" w:ascii="仿宋_GB2312" w:hAnsi="宋体" w:eastAsia="仿宋_GB2312" w:cs="宋体"/>
          <w:b w:val="0"/>
          <w:bCs/>
          <w:color w:val="000000"/>
          <w:spacing w:val="-4"/>
          <w:kern w:val="0"/>
          <w:sz w:val="32"/>
          <w:szCs w:val="32"/>
          <w:lang w:val="en-US" w:eastAsia="zh-CN"/>
        </w:rPr>
        <w:t>。</w:t>
      </w:r>
      <w:r>
        <w:rPr>
          <w:rFonts w:hint="eastAsia" w:ascii="仿宋_GB2312" w:hAnsi="宋体" w:eastAsia="仿宋_GB2312" w:cs="宋体"/>
          <w:color w:val="000000"/>
          <w:kern w:val="0"/>
          <w:sz w:val="32"/>
          <w:szCs w:val="32"/>
        </w:rPr>
        <w:t>年初</w:t>
      </w:r>
      <w:r>
        <w:rPr>
          <w:rFonts w:ascii="仿宋_GB2312" w:hAnsi="宋体" w:eastAsia="仿宋_GB2312" w:cs="宋体"/>
          <w:color w:val="000000"/>
          <w:kern w:val="0"/>
          <w:sz w:val="32"/>
          <w:szCs w:val="32"/>
        </w:rPr>
        <w:t>设定的产出数量</w:t>
      </w:r>
      <w:r>
        <w:rPr>
          <w:rFonts w:hint="eastAsia"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lang w:eastAsia="zh-CN"/>
        </w:rPr>
        <w:t>均</w:t>
      </w:r>
      <w:r>
        <w:rPr>
          <w:rFonts w:ascii="仿宋_GB2312" w:hAnsi="宋体" w:eastAsia="仿宋_GB2312" w:cs="宋体"/>
          <w:color w:val="000000"/>
          <w:kern w:val="0"/>
          <w:sz w:val="32"/>
          <w:szCs w:val="32"/>
        </w:rPr>
        <w:t>已完成。</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2.产出质量</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宋体" w:eastAsia="仿宋_GB2312" w:cs="宋体"/>
          <w:color w:val="000000"/>
          <w:kern w:val="0"/>
          <w:sz w:val="32"/>
          <w:szCs w:val="32"/>
          <w:highlight w:val="none"/>
        </w:rPr>
      </w:pPr>
      <w:r>
        <w:rPr>
          <w:rFonts w:ascii="仿宋_GB2312" w:hAnsi="宋体" w:eastAsia="仿宋_GB2312" w:cs="宋体"/>
          <w:b/>
          <w:color w:val="000000"/>
          <w:kern w:val="0"/>
          <w:sz w:val="32"/>
          <w:szCs w:val="32"/>
          <w:highlight w:val="none"/>
        </w:rPr>
        <w:t>一是</w:t>
      </w:r>
      <w:r>
        <w:rPr>
          <w:rFonts w:hint="eastAsia" w:ascii="仿宋_GB2312" w:hAnsi="宋体" w:eastAsia="仿宋_GB2312" w:cs="宋体"/>
          <w:b w:val="0"/>
          <w:bCs/>
          <w:color w:val="000000"/>
          <w:kern w:val="0"/>
          <w:sz w:val="32"/>
          <w:szCs w:val="32"/>
          <w:highlight w:val="none"/>
          <w:lang w:eastAsia="zh-CN"/>
        </w:rPr>
        <w:t>推动副中心高质量发展，完成了</w:t>
      </w:r>
      <w:r>
        <w:rPr>
          <w:rFonts w:hint="eastAsia" w:ascii="仿宋_GB2312" w:hAnsi="宋体" w:eastAsia="仿宋_GB2312" w:cs="宋体"/>
          <w:b w:val="0"/>
          <w:bCs/>
          <w:color w:val="000000"/>
          <w:kern w:val="0"/>
          <w:sz w:val="32"/>
          <w:szCs w:val="32"/>
          <w:lang w:eastAsia="zh-CN"/>
        </w:rPr>
        <w:t>副中心地方标准申报工作的初审工作，并组织开展地方标准关于技术指标评审的有关工作；开展高质量发展评估，进一步明确城市副中心高质量发展未来的重点任务和工作要求，巩固“举全市之力建设副中心”的良好态势；开展副中心绿色发展评估，完善区域绿色服务体系、提升绿色产业竞争力，推动建设副中心绿色发展示范区；成功举办</w:t>
      </w:r>
      <w:r>
        <w:rPr>
          <w:rFonts w:hint="eastAsia" w:ascii="仿宋_GB2312" w:hAnsi="宋体" w:eastAsia="仿宋_GB2312" w:cs="宋体"/>
          <w:b w:val="0"/>
          <w:bCs/>
          <w:color w:val="000000"/>
          <w:kern w:val="0"/>
          <w:sz w:val="32"/>
          <w:szCs w:val="32"/>
          <w:lang w:val="en-US" w:eastAsia="zh-CN"/>
        </w:rPr>
        <w:t>2024年北京城市副中心绿色发展论坛，传播绿色发展理念，打造“绿色发展看城市副中心”名片；</w:t>
      </w:r>
      <w:r>
        <w:rPr>
          <w:rFonts w:hint="eastAsia" w:ascii="仿宋_GB2312" w:hAnsi="宋体" w:eastAsia="仿宋_GB2312" w:cs="宋体"/>
          <w:b w:val="0"/>
          <w:bCs/>
          <w:color w:val="000000"/>
          <w:kern w:val="0"/>
          <w:sz w:val="32"/>
          <w:szCs w:val="32"/>
          <w:lang w:eastAsia="zh-CN"/>
        </w:rPr>
        <w:t>通过视频制作宣传副中心形象，</w:t>
      </w:r>
      <w:r>
        <w:rPr>
          <w:rFonts w:hint="eastAsia" w:ascii="仿宋_GB2312" w:hAnsi="宋体" w:eastAsia="仿宋_GB2312" w:cs="宋体"/>
          <w:b w:val="0"/>
          <w:bCs/>
          <w:color w:val="000000"/>
          <w:kern w:val="0"/>
          <w:sz w:val="32"/>
          <w:szCs w:val="32"/>
          <w:lang w:val="en-US" w:eastAsia="zh-CN"/>
        </w:rPr>
        <w:t>展示副中心日新月异的发展变化和生机勃发的喜人面貌</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b/>
          <w:bCs/>
          <w:color w:val="000000"/>
          <w:kern w:val="0"/>
          <w:sz w:val="32"/>
          <w:szCs w:val="32"/>
          <w:highlight w:val="none"/>
          <w:lang w:eastAsia="zh-CN"/>
        </w:rPr>
        <w:t>二是</w:t>
      </w:r>
      <w:r>
        <w:rPr>
          <w:rFonts w:hint="eastAsia" w:ascii="仿宋_GB2312" w:hAnsi="宋体" w:eastAsia="仿宋_GB2312" w:cs="宋体"/>
          <w:b w:val="0"/>
          <w:bCs w:val="0"/>
          <w:color w:val="000000"/>
          <w:kern w:val="0"/>
          <w:sz w:val="32"/>
          <w:szCs w:val="32"/>
          <w:highlight w:val="none"/>
          <w:lang w:eastAsia="zh-CN"/>
        </w:rPr>
        <w:t>接续支撑副中心每年千亿投资规模，形成的</w:t>
      </w:r>
      <w:r>
        <w:rPr>
          <w:rFonts w:hint="eastAsia" w:ascii="仿宋_GB2312" w:hAnsi="宋体" w:eastAsia="仿宋_GB2312" w:cs="宋体"/>
          <w:b w:val="0"/>
          <w:bCs w:val="0"/>
          <w:color w:val="000000"/>
          <w:kern w:val="0"/>
          <w:sz w:val="32"/>
          <w:szCs w:val="32"/>
          <w:highlight w:val="none"/>
          <w:lang w:val="en-US" w:eastAsia="zh-CN"/>
        </w:rPr>
        <w:t>三类</w:t>
      </w:r>
      <w:r>
        <w:rPr>
          <w:rFonts w:hint="eastAsia" w:ascii="仿宋_GB2312" w:hAnsi="宋体" w:eastAsia="仿宋_GB2312" w:cs="宋体"/>
          <w:b w:val="0"/>
          <w:bCs w:val="0"/>
          <w:color w:val="000000"/>
          <w:kern w:val="0"/>
          <w:sz w:val="32"/>
          <w:szCs w:val="32"/>
          <w:highlight w:val="none"/>
          <w:lang w:eastAsia="zh-CN"/>
        </w:rPr>
        <w:t>重大项目项目谋划清单和谋划项目论证报告等成果通过验收并审核入储备库，优化了副中心重大项目储备布局</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b/>
          <w:bCs/>
          <w:color w:val="000000"/>
          <w:kern w:val="0"/>
          <w:sz w:val="32"/>
          <w:szCs w:val="32"/>
          <w:highlight w:val="none"/>
          <w:lang w:eastAsia="zh-CN"/>
        </w:rPr>
        <w:t>三是</w:t>
      </w:r>
      <w:r>
        <w:rPr>
          <w:rFonts w:hint="eastAsia" w:ascii="仿宋_GB2312" w:hAnsi="宋体" w:eastAsia="仿宋_GB2312" w:cs="宋体"/>
          <w:b w:val="0"/>
          <w:bCs w:val="0"/>
          <w:color w:val="000000"/>
          <w:kern w:val="0"/>
          <w:sz w:val="32"/>
          <w:szCs w:val="32"/>
          <w:highlight w:val="none"/>
          <w:lang w:eastAsia="zh-CN"/>
        </w:rPr>
        <w:t>促进副中心产业升级，</w:t>
      </w:r>
      <w:r>
        <w:rPr>
          <w:rFonts w:hint="eastAsia" w:ascii="仿宋_GB2312" w:hAnsi="宋体" w:eastAsia="仿宋_GB2312" w:cs="宋体"/>
          <w:color w:val="000000"/>
          <w:kern w:val="0"/>
          <w:sz w:val="32"/>
          <w:szCs w:val="32"/>
          <w:highlight w:val="none"/>
        </w:rPr>
        <w:t>在环球度假区成功举办北京城市副中心文化旅游区主题活动，文化旅游区宣传画册和宣传影片震撼亮相，百余家单位参会、包括港媒在内的20余家媒体的高度关注。</w:t>
      </w:r>
      <w:r>
        <w:rPr>
          <w:rFonts w:hint="eastAsia" w:ascii="仿宋_GB2312" w:hAnsi="宋体" w:eastAsia="仿宋_GB2312" w:cs="宋体"/>
          <w:color w:val="000000"/>
          <w:kern w:val="0"/>
          <w:sz w:val="32"/>
          <w:szCs w:val="32"/>
          <w:highlight w:val="none"/>
          <w:lang w:eastAsia="zh-CN"/>
        </w:rPr>
        <w:t>形成文化旅游区产业发展规划，明确细分产业主题，设计产业发展路径，实现产业项目差异化落位；研究制定相应的产业项目高质量全生命周期管理流程，制定文化旅游区</w:t>
      </w:r>
      <w:r>
        <w:rPr>
          <w:rFonts w:hint="eastAsia" w:ascii="仿宋_GB2312" w:hAnsi="宋体" w:eastAsia="仿宋_GB2312" w:cs="宋体"/>
          <w:color w:val="000000"/>
          <w:kern w:val="0"/>
          <w:sz w:val="32"/>
          <w:szCs w:val="32"/>
          <w:highlight w:val="none"/>
        </w:rPr>
        <w:t>意向企业准入的评价体系和评价指标</w:t>
      </w:r>
      <w:r>
        <w:rPr>
          <w:rFonts w:hint="eastAsia" w:ascii="仿宋_GB2312" w:hAnsi="宋体" w:eastAsia="仿宋_GB2312" w:cs="宋体"/>
          <w:color w:val="000000"/>
          <w:kern w:val="0"/>
          <w:sz w:val="32"/>
          <w:szCs w:val="32"/>
          <w:highlight w:val="none"/>
          <w:lang w:eastAsia="zh-CN"/>
        </w:rPr>
        <w:t>体系，系统推动文化旅游区高质量发展。</w:t>
      </w:r>
      <w:r>
        <w:rPr>
          <w:rFonts w:hint="eastAsia" w:ascii="仿宋_GB2312" w:hAnsi="宋体" w:eastAsia="仿宋_GB2312" w:cs="宋体"/>
          <w:b/>
          <w:color w:val="000000"/>
          <w:kern w:val="0"/>
          <w:sz w:val="32"/>
          <w:szCs w:val="32"/>
          <w:highlight w:val="none"/>
          <w:lang w:eastAsia="zh-CN"/>
        </w:rPr>
        <w:t>四</w:t>
      </w:r>
      <w:r>
        <w:rPr>
          <w:rFonts w:hint="eastAsia" w:ascii="仿宋_GB2312" w:hAnsi="宋体" w:eastAsia="仿宋_GB2312" w:cs="宋体"/>
          <w:b/>
          <w:color w:val="000000"/>
          <w:kern w:val="0"/>
          <w:sz w:val="32"/>
          <w:szCs w:val="32"/>
          <w:highlight w:val="none"/>
        </w:rPr>
        <w:t>是</w:t>
      </w:r>
      <w:r>
        <w:rPr>
          <w:rFonts w:hint="eastAsia" w:ascii="仿宋_GB2312" w:hAnsi="宋体" w:eastAsia="仿宋_GB2312" w:cs="宋体"/>
          <w:b w:val="0"/>
          <w:bCs/>
          <w:color w:val="000000"/>
          <w:kern w:val="0"/>
          <w:sz w:val="32"/>
          <w:szCs w:val="32"/>
          <w:highlight w:val="none"/>
          <w:lang w:eastAsia="zh-CN"/>
        </w:rPr>
        <w:t>打造高质量政务服务大厅，大厅智能政务终端系统功能多样、可靠稳定，政务信息维护安全，政务监督有力有效。</w:t>
      </w:r>
      <w:r>
        <w:rPr>
          <w:rFonts w:hint="eastAsia" w:ascii="仿宋_GB2312" w:hAnsi="宋体" w:eastAsia="仿宋_GB2312" w:cs="宋体"/>
          <w:b/>
          <w:bCs w:val="0"/>
          <w:color w:val="000000"/>
          <w:kern w:val="0"/>
          <w:sz w:val="32"/>
          <w:szCs w:val="32"/>
          <w:highlight w:val="none"/>
          <w:lang w:eastAsia="zh-CN"/>
        </w:rPr>
        <w:t>五是</w:t>
      </w:r>
      <w:r>
        <w:rPr>
          <w:rFonts w:hint="eastAsia" w:ascii="仿宋_GB2312" w:hAnsi="宋体" w:eastAsia="仿宋_GB2312" w:cs="宋体"/>
          <w:b w:val="0"/>
          <w:bCs/>
          <w:color w:val="000000"/>
          <w:kern w:val="0"/>
          <w:sz w:val="32"/>
          <w:szCs w:val="32"/>
          <w:highlight w:val="none"/>
          <w:lang w:eastAsia="zh-CN"/>
        </w:rPr>
        <w:t>高质量完成市级审批事项，完成2024年建设项目交通影响评价技术审核，优化交通资源分配和布局；完成市级重点项目消防验收，保障了三大建筑、行政办公区二期、安贞医院等项目精彩亮相；结合副中心工地进度，按照“条件满足一批，评估一批”的原则，迅速保障土地供应；开展城市副中心新增耕地复核验收工作，新增1363亩耕地保护。</w:t>
      </w:r>
      <w:r>
        <w:rPr>
          <w:rFonts w:hint="eastAsia" w:ascii="仿宋_GB2312" w:hAnsi="宋体" w:eastAsia="仿宋_GB2312" w:cs="宋体"/>
          <w:b/>
          <w:bCs w:val="0"/>
          <w:color w:val="000000"/>
          <w:kern w:val="0"/>
          <w:sz w:val="32"/>
          <w:szCs w:val="32"/>
          <w:highlight w:val="none"/>
          <w:lang w:eastAsia="zh-CN"/>
        </w:rPr>
        <w:t>六是</w:t>
      </w:r>
      <w:r>
        <w:rPr>
          <w:rFonts w:hint="eastAsia" w:ascii="仿宋_GB2312" w:hAnsi="宋体" w:eastAsia="仿宋_GB2312" w:cs="宋体"/>
          <w:b w:val="0"/>
          <w:bCs/>
          <w:color w:val="000000"/>
          <w:kern w:val="0"/>
          <w:sz w:val="32"/>
          <w:szCs w:val="32"/>
          <w:highlight w:val="none"/>
          <w:lang w:eastAsia="zh-CN"/>
        </w:rPr>
        <w:t>建立“副中心控规落实要求+建设项目实施效果+使用人群座谈调研+相关法规适配程度”四大维度的导则评估体系，以优质方案设计校核导则设计条款，实施评估真实有效；形成面向“围合式”与“小街区、密路网”规划理念的城市副中心建筑规划设计与交通规划设计技术指引要点，为城市副中心品质的实施落地提供有效支撑；编制完成通州区与北三县一体化高质量发展示范区综合交通体系规划方案，形成规划文本及示范区铁路及轨道交通系统、对外干线路网系统、内部道路网系统等相关规划图纸；制定城市副中心战略留白用地评估及管理对策，为城市副中心及拓展区后续战略留白布局优化及实施提供相关建议。</w:t>
      </w:r>
      <w:r>
        <w:rPr>
          <w:rFonts w:hint="eastAsia" w:ascii="仿宋_GB2312" w:hAnsi="宋体" w:eastAsia="仿宋_GB2312" w:cs="宋体"/>
          <w:color w:val="000000"/>
          <w:kern w:val="0"/>
          <w:sz w:val="32"/>
          <w:szCs w:val="32"/>
          <w:highlight w:val="none"/>
        </w:rPr>
        <w:t>总体来看，部门工作产出质量较好。</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产出</w:t>
      </w:r>
      <w:r>
        <w:rPr>
          <w:rFonts w:hint="eastAsia" w:ascii="仿宋_GB2312" w:hAnsi="宋体" w:eastAsia="仿宋_GB2312" w:cs="宋体"/>
          <w:color w:val="000000"/>
          <w:kern w:val="0"/>
          <w:sz w:val="32"/>
          <w:szCs w:val="32"/>
          <w:lang w:eastAsia="zh-CN"/>
        </w:rPr>
        <w:t>进度</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根据部门整体产出目标完成情况分析，202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年度重点工作均按照计划有序推进落实，部门年度工作完成及时。</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4.产出成本</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我委严格落实《党政机关厉行节约反对浪费条例》，坚决落实政府过紧日子要求，坚持勤俭办事业。一是对2024年具备评审条件的项目开展部门预算评审，最大程度降低项目成本；二是按照公用经费支出事前审批制度，严格执行差旅费、会议费、培训费等开支范围和标准，强化对支出事项的细化审核，加强机关运行成本管理。三是严格实施“三公”经费财政拨款限额管理，按照财政部门预算编制标准，2024年我委“三公”经费支出6.4万元，从严控制预算规模；严格落实我委国内公务接待管理办法，做好公务接待费用收交和信息备案，对公务活动无关的费用，不得安排预算，努力节约日常经费开支。总体来看，部门整体成本控制情况较好，提高了财政资金的使用效益。</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1.经济</w:t>
      </w:r>
      <w:r>
        <w:rPr>
          <w:rFonts w:ascii="仿宋_GB2312" w:hAnsi="宋体" w:eastAsia="仿宋_GB2312" w:cs="宋体"/>
          <w:color w:val="000000"/>
          <w:kern w:val="0"/>
          <w:sz w:val="32"/>
          <w:szCs w:val="32"/>
          <w:highlight w:val="none"/>
        </w:rPr>
        <w:t>效益</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2024年，副中心已成功招拍挂成交土地5宗，完成协议出让和合同变更等事项12个，收取土地出让金总计约50亿元。</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w:t>
      </w:r>
      <w:r>
        <w:rPr>
          <w:rFonts w:ascii="仿宋_GB2312" w:hAnsi="宋体" w:eastAsia="仿宋_GB2312" w:cs="宋体"/>
          <w:color w:val="000000"/>
          <w:kern w:val="0"/>
          <w:sz w:val="32"/>
          <w:szCs w:val="32"/>
        </w:rPr>
        <w:t>效益</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50" w:lineRule="exact"/>
        <w:ind w:firstLine="640" w:firstLineChars="200"/>
        <w:textAlignment w:val="auto"/>
        <w:rPr>
          <w:rFonts w:asciiTheme="minorEastAsia" w:hAnsiTheme="minorEastAsia" w:eastAsiaTheme="minorEastAsia"/>
          <w:b w:val="0"/>
          <w:bCs/>
          <w:sz w:val="21"/>
          <w:szCs w:val="21"/>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北京城市副中心管理委员会</w:t>
      </w:r>
      <w:r>
        <w:rPr>
          <w:rFonts w:ascii="仿宋_GB2312" w:eastAsia="仿宋_GB2312"/>
          <w:sz w:val="32"/>
          <w:szCs w:val="32"/>
        </w:rPr>
        <w:t>坚持</w:t>
      </w:r>
      <w:r>
        <w:rPr>
          <w:rFonts w:hint="eastAsia" w:ascii="仿宋_GB2312" w:eastAsia="仿宋_GB2312"/>
          <w:sz w:val="32"/>
          <w:szCs w:val="32"/>
        </w:rPr>
        <w:t>以更高站位、更高水平推进城市建设，不断提升城市功能品质和承载能力</w:t>
      </w:r>
      <w:r>
        <w:rPr>
          <w:rFonts w:ascii="仿宋_GB2312" w:eastAsia="仿宋_GB2312"/>
          <w:sz w:val="32"/>
          <w:szCs w:val="32"/>
        </w:rPr>
        <w:t>。</w:t>
      </w:r>
      <w:r>
        <w:rPr>
          <w:rFonts w:ascii="仿宋_GB2312" w:eastAsia="仿宋_GB2312"/>
          <w:b/>
          <w:sz w:val="32"/>
          <w:szCs w:val="32"/>
        </w:rPr>
        <w:t>一是</w:t>
      </w:r>
      <w:r>
        <w:rPr>
          <w:rFonts w:hint="eastAsia" w:ascii="仿宋_GB2312" w:eastAsia="仿宋_GB2312"/>
          <w:b w:val="0"/>
          <w:bCs/>
          <w:sz w:val="32"/>
          <w:szCs w:val="32"/>
        </w:rPr>
        <w:t>对《</w:t>
      </w:r>
      <w:r>
        <w:rPr>
          <w:rFonts w:hint="eastAsia" w:ascii="仿宋_GB2312" w:eastAsia="仿宋_GB2312"/>
          <w:b w:val="0"/>
          <w:bCs/>
          <w:sz w:val="32"/>
          <w:szCs w:val="32"/>
          <w:lang w:eastAsia="zh-CN"/>
        </w:rPr>
        <w:t>北京城市副中心</w:t>
      </w:r>
      <w:r>
        <w:rPr>
          <w:rFonts w:hint="eastAsia" w:ascii="仿宋_GB2312" w:eastAsia="仿宋_GB2312"/>
          <w:b w:val="0"/>
          <w:bCs/>
          <w:sz w:val="32"/>
          <w:szCs w:val="32"/>
        </w:rPr>
        <w:t>高质量发展意见》及“一方案三清单”部署工作的落实情况进行综合、全面、立体的阶段性评估，进一步明确城市副中心高质量发展后续落实的重点任务和要求</w:t>
      </w:r>
      <w:r>
        <w:rPr>
          <w:rFonts w:hint="eastAsia" w:ascii="仿宋_GB2312" w:eastAsia="仿宋_GB2312"/>
          <w:b w:val="0"/>
          <w:bCs/>
          <w:sz w:val="32"/>
          <w:szCs w:val="32"/>
          <w:lang w:eastAsia="zh-CN"/>
        </w:rPr>
        <w:t>；构建长效项目谋划体系，推动项目高质量可持续发展，不断提升社会领域公共服务水平和质量。</w:t>
      </w:r>
      <w:r>
        <w:rPr>
          <w:rFonts w:hint="eastAsia" w:ascii="仿宋_GB2312" w:eastAsia="仿宋_GB2312"/>
          <w:b/>
          <w:bCs w:val="0"/>
          <w:sz w:val="32"/>
          <w:szCs w:val="32"/>
          <w:lang w:eastAsia="zh-CN"/>
        </w:rPr>
        <w:t>二是</w:t>
      </w:r>
      <w:r>
        <w:rPr>
          <w:rFonts w:hint="eastAsia" w:ascii="仿宋_GB2312" w:eastAsia="仿宋_GB2312"/>
          <w:b w:val="0"/>
          <w:bCs/>
          <w:sz w:val="32"/>
          <w:szCs w:val="32"/>
          <w:lang w:eastAsia="zh-CN"/>
        </w:rPr>
        <w:t>完成城市副中心绿色发展年度评估，推动绿色发展理念融入城市副中心绿色发展各领域，成功举办副中心绿色发展论坛，深入传播副中心绿色发展理念，促进城市副中心绿色生态空间品质提升。</w:t>
      </w:r>
      <w:r>
        <w:rPr>
          <w:rFonts w:hint="eastAsia" w:ascii="仿宋_GB2312" w:eastAsia="仿宋_GB2312"/>
          <w:b/>
          <w:bCs w:val="0"/>
          <w:spacing w:val="0"/>
          <w:sz w:val="32"/>
          <w:szCs w:val="32"/>
          <w:lang w:eastAsia="zh-CN"/>
        </w:rPr>
        <w:t>三是</w:t>
      </w:r>
      <w:r>
        <w:rPr>
          <w:rFonts w:hint="eastAsia" w:ascii="仿宋_GB2312" w:eastAsia="仿宋_GB2312"/>
          <w:b w:val="0"/>
          <w:bCs/>
          <w:spacing w:val="0"/>
          <w:sz w:val="32"/>
          <w:szCs w:val="32"/>
          <w:lang w:eastAsia="zh-CN"/>
        </w:rPr>
        <w:t>通过招商引资活动</w:t>
      </w:r>
      <w:r>
        <w:rPr>
          <w:rFonts w:hint="eastAsia" w:ascii="仿宋_GB2312" w:hAnsi="宋体" w:eastAsia="仿宋_GB2312" w:cs="宋体"/>
          <w:color w:val="000000"/>
          <w:kern w:val="0"/>
          <w:sz w:val="32"/>
          <w:szCs w:val="32"/>
          <w:highlight w:val="none"/>
        </w:rPr>
        <w:t>，文化旅游区的社会关注度和影响力快速提升</w:t>
      </w:r>
      <w:r>
        <w:rPr>
          <w:rFonts w:hint="eastAsia" w:ascii="仿宋_GB2312" w:hAnsi="宋体" w:eastAsia="仿宋_GB2312" w:cs="宋体"/>
          <w:color w:val="000000"/>
          <w:kern w:val="0"/>
          <w:sz w:val="32"/>
          <w:szCs w:val="32"/>
          <w:highlight w:val="none"/>
          <w:lang w:eastAsia="zh-CN"/>
        </w:rPr>
        <w:t>，</w:t>
      </w:r>
      <w:r>
        <w:rPr>
          <w:rFonts w:hint="eastAsia" w:ascii="仿宋_GB2312" w:eastAsia="仿宋_GB2312"/>
          <w:b w:val="0"/>
          <w:bCs/>
          <w:spacing w:val="0"/>
          <w:sz w:val="32"/>
          <w:szCs w:val="32"/>
          <w:lang w:eastAsia="zh-CN"/>
        </w:rPr>
        <w:t>吸引更多的外来资本和资源，为副中心经济发展注入新的活力；科学谋划布局文化旅游区产业业态，系统推动文化旅游区高质量发展。</w:t>
      </w:r>
      <w:r>
        <w:rPr>
          <w:rFonts w:hint="eastAsia" w:ascii="仿宋_GB2312" w:eastAsia="仿宋_GB2312"/>
          <w:b/>
          <w:bCs w:val="0"/>
          <w:spacing w:val="0"/>
          <w:sz w:val="32"/>
          <w:szCs w:val="32"/>
          <w:lang w:eastAsia="zh-CN"/>
        </w:rPr>
        <w:t>四是</w:t>
      </w:r>
      <w:r>
        <w:rPr>
          <w:rFonts w:hint="eastAsia" w:ascii="仿宋_GB2312" w:hAnsi="宋体" w:eastAsia="仿宋_GB2312" w:cs="宋体"/>
          <w:b w:val="0"/>
          <w:bCs/>
          <w:color w:val="000000"/>
          <w:kern w:val="0"/>
          <w:sz w:val="32"/>
          <w:szCs w:val="32"/>
          <w:highlight w:val="none"/>
          <w:lang w:eastAsia="zh-CN"/>
        </w:rPr>
        <w:t>优化营商环境，利用智能科学技术和暖心的政务服务，提高了城市副中心政务服务的智能化、精准化、便利化水平，切实满足了城市副中心和北京东部地区的政务服务需求，提升企业群众办事的幸福感和获得感</w:t>
      </w:r>
      <w:r>
        <w:rPr>
          <w:rFonts w:hint="eastAsia" w:ascii="仿宋_GB2312" w:eastAsia="仿宋_GB2312"/>
          <w:b w:val="0"/>
          <w:bCs/>
          <w:spacing w:val="0"/>
          <w:sz w:val="32"/>
          <w:szCs w:val="32"/>
          <w:lang w:eastAsia="zh-CN"/>
        </w:rPr>
        <w:t>。</w:t>
      </w:r>
      <w:r>
        <w:rPr>
          <w:rFonts w:hint="eastAsia" w:ascii="仿宋_GB2312" w:eastAsia="仿宋_GB2312"/>
          <w:b/>
          <w:bCs w:val="0"/>
          <w:spacing w:val="0"/>
          <w:sz w:val="32"/>
          <w:szCs w:val="32"/>
          <w:highlight w:val="none"/>
          <w:lang w:eastAsia="zh-CN"/>
        </w:rPr>
        <w:t>五是</w:t>
      </w:r>
      <w:r>
        <w:rPr>
          <w:rFonts w:hint="eastAsia" w:ascii="仿宋_GB2312" w:eastAsia="仿宋_GB2312"/>
          <w:b w:val="0"/>
          <w:bCs/>
          <w:color w:val="auto"/>
          <w:spacing w:val="0"/>
          <w:sz w:val="32"/>
          <w:szCs w:val="32"/>
          <w:highlight w:val="none"/>
          <w:lang w:eastAsia="zh-CN"/>
        </w:rPr>
        <w:t>通过履行市级赋权事项，充分发挥“副中心的事副中心办”体制机制优势，</w:t>
      </w:r>
      <w:r>
        <w:rPr>
          <w:rFonts w:hint="eastAsia" w:ascii="仿宋_GB2312" w:eastAsia="仿宋_GB2312"/>
          <w:b w:val="0"/>
          <w:bCs/>
          <w:spacing w:val="0"/>
          <w:sz w:val="32"/>
          <w:szCs w:val="32"/>
          <w:highlight w:val="none"/>
          <w:lang w:eastAsia="zh-CN"/>
        </w:rPr>
        <w:t>提高副中心行政管理水平。</w:t>
      </w:r>
      <w:r>
        <w:rPr>
          <w:rFonts w:hint="eastAsia" w:ascii="仿宋_GB2312" w:eastAsia="仿宋_GB2312"/>
          <w:b/>
          <w:bCs w:val="0"/>
          <w:spacing w:val="0"/>
          <w:sz w:val="32"/>
          <w:szCs w:val="32"/>
          <w:lang w:eastAsia="zh-CN"/>
        </w:rPr>
        <w:t>六是</w:t>
      </w:r>
      <w:r>
        <w:rPr>
          <w:rFonts w:hint="eastAsia" w:ascii="仿宋_GB2312" w:eastAsia="仿宋_GB2312"/>
          <w:b w:val="0"/>
          <w:bCs/>
          <w:spacing w:val="0"/>
          <w:sz w:val="32"/>
          <w:szCs w:val="32"/>
          <w:lang w:eastAsia="zh-CN"/>
        </w:rPr>
        <w:t>设计规划“城市副中心质量”的高品质城市空间环境，为城市副中心打造成为国际一流的和谐宜居之都示范区提供技术支撑，服务人民群众生产生活。</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4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.可持续</w:t>
      </w:r>
      <w:r>
        <w:rPr>
          <w:rFonts w:ascii="仿宋_GB2312" w:hAnsi="宋体" w:eastAsia="仿宋_GB2312" w:cs="宋体"/>
          <w:color w:val="000000"/>
          <w:kern w:val="0"/>
          <w:sz w:val="32"/>
          <w:szCs w:val="32"/>
        </w:rPr>
        <w:t>影响</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4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根据部门各预算项目的服务对象满意度结果显示，公众的满意度程度较好。其中，大厅智能政务终端系统群众使用满意度</w:t>
      </w:r>
      <w:r>
        <w:rPr>
          <w:rFonts w:hint="eastAsia" w:ascii="仿宋_GB2312" w:hAnsi="宋体" w:eastAsia="仿宋_GB2312" w:cs="宋体"/>
          <w:color w:val="000000"/>
          <w:kern w:val="0"/>
          <w:sz w:val="32"/>
          <w:szCs w:val="32"/>
          <w:lang w:val="en-US" w:eastAsia="zh-CN"/>
        </w:rPr>
        <w:t>95</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highlight w:val="none"/>
          <w:lang w:eastAsia="zh-CN"/>
        </w:rPr>
        <w:t>赋权满意度</w:t>
      </w:r>
      <w:r>
        <w:rPr>
          <w:rFonts w:hint="eastAsia" w:ascii="仿宋_GB2312" w:hAnsi="宋体" w:eastAsia="仿宋_GB2312" w:cs="宋体"/>
          <w:color w:val="000000"/>
          <w:kern w:val="0"/>
          <w:sz w:val="32"/>
          <w:szCs w:val="32"/>
          <w:highlight w:val="none"/>
          <w:lang w:val="en-US" w:eastAsia="zh-CN"/>
        </w:rPr>
        <w:t>100</w:t>
      </w:r>
      <w:r>
        <w:rPr>
          <w:rFonts w:hint="eastAsia" w:ascii="仿宋_GB2312" w:hAnsi="宋体" w:eastAsia="仿宋_GB2312" w:cs="宋体"/>
          <w:color w:val="000000"/>
          <w:kern w:val="0"/>
          <w:sz w:val="32"/>
          <w:szCs w:val="32"/>
          <w:highlight w:val="none"/>
        </w:rPr>
        <w:t>%。</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highlight w:val="none"/>
        </w:rPr>
      </w:pPr>
      <w:r>
        <w:rPr>
          <w:rFonts w:hint="eastAsia" w:ascii="楷体_GB2312" w:eastAsia="楷体_GB2312"/>
          <w:sz w:val="32"/>
          <w:szCs w:val="32"/>
          <w:highlight w:val="none"/>
        </w:rPr>
        <w:t>（一）财务管理</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2024年</w:t>
      </w:r>
      <w:r>
        <w:rPr>
          <w:rFonts w:hint="eastAsia" w:ascii="仿宋_GB2312" w:hAnsi="宋体" w:eastAsia="仿宋_GB2312" w:cs="宋体"/>
          <w:color w:val="000000"/>
          <w:kern w:val="0"/>
          <w:sz w:val="32"/>
          <w:szCs w:val="32"/>
          <w:highlight w:val="none"/>
          <w:lang w:eastAsia="zh-CN"/>
        </w:rPr>
        <w:t>北京城市副中心管理委员会</w:t>
      </w:r>
      <w:r>
        <w:rPr>
          <w:rFonts w:hint="eastAsia" w:ascii="仿宋_GB2312" w:hAnsi="宋体" w:eastAsia="仿宋_GB2312" w:cs="宋体"/>
          <w:color w:val="000000"/>
          <w:kern w:val="0"/>
          <w:sz w:val="32"/>
          <w:szCs w:val="32"/>
          <w:highlight w:val="none"/>
        </w:rPr>
        <w:t>认真做好各项财务管理与保障工作，严格落实“管理有序、保障有力、统筹协调”的财务管理要求，保障</w:t>
      </w:r>
      <w:r>
        <w:rPr>
          <w:rFonts w:hint="eastAsia" w:ascii="仿宋_GB2312" w:hAnsi="宋体" w:eastAsia="仿宋_GB2312" w:cs="宋体"/>
          <w:color w:val="000000"/>
          <w:kern w:val="0"/>
          <w:sz w:val="32"/>
          <w:szCs w:val="32"/>
          <w:highlight w:val="none"/>
          <w:lang w:eastAsia="zh-CN"/>
        </w:rPr>
        <w:t>管委会各项</w:t>
      </w:r>
      <w:r>
        <w:rPr>
          <w:rFonts w:hint="eastAsia" w:ascii="仿宋_GB2312" w:hAnsi="宋体" w:eastAsia="仿宋_GB2312" w:cs="宋体"/>
          <w:color w:val="000000"/>
          <w:kern w:val="0"/>
          <w:sz w:val="32"/>
          <w:szCs w:val="32"/>
          <w:highlight w:val="none"/>
        </w:rPr>
        <w:t>工作顺利开展。</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宋体" w:eastAsia="仿宋_GB2312" w:cs="宋体"/>
          <w:b/>
          <w:color w:val="000000"/>
          <w:spacing w:val="0"/>
          <w:kern w:val="0"/>
          <w:sz w:val="32"/>
          <w:szCs w:val="32"/>
          <w:highlight w:val="none"/>
          <w:lang w:val="en-US" w:eastAsia="zh-CN"/>
        </w:rPr>
      </w:pPr>
      <w:r>
        <w:rPr>
          <w:rFonts w:hint="eastAsia" w:ascii="仿宋_GB2312" w:hAnsi="宋体" w:eastAsia="仿宋_GB2312" w:cs="宋体"/>
          <w:color w:val="000000"/>
          <w:kern w:val="0"/>
          <w:sz w:val="32"/>
          <w:szCs w:val="32"/>
          <w:lang w:val="en-US" w:eastAsia="zh-CN"/>
        </w:rPr>
        <w:t>2024年修改并系统建立了内部控制制度</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目前已</w:t>
      </w:r>
      <w:r>
        <w:rPr>
          <w:rFonts w:hint="eastAsia" w:ascii="仿宋_GB2312" w:hAnsi="宋体" w:eastAsia="仿宋_GB2312" w:cs="宋体"/>
          <w:color w:val="000000"/>
          <w:kern w:val="0"/>
          <w:sz w:val="32"/>
          <w:szCs w:val="32"/>
        </w:rPr>
        <w:t>建立健全了预算、收支、采购、资产、合同等方面的各项财务</w:t>
      </w:r>
      <w:r>
        <w:rPr>
          <w:rFonts w:ascii="仿宋_GB2312" w:hAnsi="宋体" w:eastAsia="仿宋_GB2312" w:cs="宋体"/>
          <w:color w:val="000000"/>
          <w:kern w:val="0"/>
          <w:sz w:val="32"/>
          <w:szCs w:val="32"/>
        </w:rPr>
        <w:t>管理</w:t>
      </w:r>
      <w:r>
        <w:rPr>
          <w:rFonts w:hint="eastAsia" w:ascii="仿宋_GB2312" w:hAnsi="宋体" w:eastAsia="仿宋_GB2312" w:cs="宋体"/>
          <w:color w:val="000000"/>
          <w:kern w:val="0"/>
          <w:sz w:val="32"/>
          <w:szCs w:val="32"/>
        </w:rPr>
        <w:t>制度，会计核算制度完整、合规</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highlight w:val="none"/>
        </w:rPr>
        <w:t>2</w:t>
      </w:r>
      <w:r>
        <w:rPr>
          <w:rFonts w:ascii="仿宋_GB2312" w:hAnsi="宋体" w:eastAsia="仿宋_GB2312" w:cs="宋体"/>
          <w:color w:val="000000"/>
          <w:kern w:val="0"/>
          <w:sz w:val="32"/>
          <w:szCs w:val="32"/>
          <w:highlight w:val="none"/>
        </w:rPr>
        <w:t>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w:t>
      </w:r>
      <w:r>
        <w:rPr>
          <w:rFonts w:hint="eastAsia" w:ascii="仿宋_GB2312" w:hAnsi="宋体" w:eastAsia="仿宋_GB2312" w:cs="宋体"/>
          <w:color w:val="000000"/>
          <w:spacing w:val="0"/>
          <w:kern w:val="0"/>
          <w:sz w:val="32"/>
          <w:szCs w:val="32"/>
          <w:highlight w:val="none"/>
        </w:rPr>
        <w:t>按照</w:t>
      </w:r>
      <w:r>
        <w:rPr>
          <w:rFonts w:hint="eastAsia" w:ascii="仿宋_GB2312" w:hAnsi="宋体" w:eastAsia="仿宋_GB2312" w:cs="宋体"/>
          <w:color w:val="000000"/>
          <w:spacing w:val="0"/>
          <w:kern w:val="0"/>
          <w:sz w:val="32"/>
          <w:szCs w:val="32"/>
          <w:highlight w:val="none"/>
          <w:lang w:eastAsia="zh-CN"/>
        </w:rPr>
        <w:t>巡视有关</w:t>
      </w:r>
      <w:r>
        <w:rPr>
          <w:rFonts w:hint="eastAsia" w:ascii="仿宋_GB2312" w:hAnsi="宋体" w:eastAsia="仿宋_GB2312" w:cs="宋体"/>
          <w:color w:val="000000"/>
          <w:spacing w:val="0"/>
          <w:kern w:val="0"/>
          <w:sz w:val="32"/>
          <w:szCs w:val="32"/>
          <w:highlight w:val="none"/>
        </w:rPr>
        <w:t>要求，围绕工作实际，不断完善制度机制、优化工作流程、</w:t>
      </w:r>
      <w:r>
        <w:rPr>
          <w:rFonts w:ascii="仿宋_GB2312" w:hAnsi="宋体" w:eastAsia="仿宋_GB2312" w:cs="宋体"/>
          <w:color w:val="000000"/>
          <w:spacing w:val="0"/>
          <w:kern w:val="0"/>
          <w:sz w:val="32"/>
          <w:szCs w:val="32"/>
          <w:highlight w:val="none"/>
        </w:rPr>
        <w:t>财务</w:t>
      </w:r>
      <w:r>
        <w:rPr>
          <w:rFonts w:hint="eastAsia" w:ascii="仿宋_GB2312" w:hAnsi="宋体" w:eastAsia="仿宋_GB2312" w:cs="宋体"/>
          <w:color w:val="000000"/>
          <w:spacing w:val="0"/>
          <w:kern w:val="0"/>
          <w:sz w:val="32"/>
          <w:szCs w:val="32"/>
          <w:highlight w:val="none"/>
        </w:rPr>
        <w:t>管理基础。</w:t>
      </w:r>
      <w:r>
        <w:rPr>
          <w:rFonts w:hint="eastAsia" w:ascii="仿宋_GB2312" w:hAnsi="宋体" w:eastAsia="仿宋_GB2312" w:cs="宋体"/>
          <w:b/>
          <w:color w:val="000000"/>
          <w:spacing w:val="0"/>
          <w:kern w:val="0"/>
          <w:sz w:val="32"/>
          <w:szCs w:val="32"/>
          <w:highlight w:val="none"/>
        </w:rPr>
        <w:t>一是</w:t>
      </w:r>
      <w:r>
        <w:rPr>
          <w:rFonts w:hint="eastAsia" w:ascii="仿宋_GB2312" w:hAnsi="宋体" w:eastAsia="仿宋_GB2312" w:cs="宋体"/>
          <w:b w:val="0"/>
          <w:bCs/>
          <w:color w:val="000000"/>
          <w:spacing w:val="0"/>
          <w:kern w:val="0"/>
          <w:sz w:val="32"/>
          <w:szCs w:val="32"/>
          <w:highlight w:val="none"/>
          <w:lang w:eastAsia="zh-CN"/>
        </w:rPr>
        <w:t>制定印发《北京城市副中心管理委员会合同管理办法》，有效规范了合同订立与审批审核、履约执行、纠纷处理等合同管理环节，促进了合同管理的规范性和合法性。</w:t>
      </w:r>
      <w:r>
        <w:rPr>
          <w:rFonts w:hint="eastAsia" w:ascii="仿宋_GB2312" w:hAnsi="宋体" w:eastAsia="仿宋_GB2312" w:cs="宋体"/>
          <w:b/>
          <w:bCs w:val="0"/>
          <w:color w:val="000000"/>
          <w:spacing w:val="0"/>
          <w:kern w:val="0"/>
          <w:sz w:val="32"/>
          <w:szCs w:val="32"/>
          <w:highlight w:val="none"/>
          <w:lang w:eastAsia="zh-CN"/>
        </w:rPr>
        <w:t>二是</w:t>
      </w:r>
      <w:r>
        <w:rPr>
          <w:rFonts w:hint="eastAsia" w:ascii="仿宋_GB2312" w:hAnsi="宋体" w:eastAsia="仿宋_GB2312" w:cs="宋体"/>
          <w:b w:val="0"/>
          <w:bCs/>
          <w:color w:val="000000"/>
          <w:spacing w:val="0"/>
          <w:kern w:val="0"/>
          <w:sz w:val="32"/>
          <w:szCs w:val="32"/>
          <w:highlight w:val="none"/>
          <w:lang w:eastAsia="zh-CN"/>
        </w:rPr>
        <w:t>制定印发《北京城市副中心管理委员会差旅费管理办法》，进一步细化出差审批制度，</w:t>
      </w:r>
      <w:r>
        <w:rPr>
          <w:rFonts w:hint="eastAsia" w:ascii="仿宋_GB2312" w:hAnsi="仿宋_GB2312" w:eastAsia="仿宋_GB2312" w:cs="仿宋_GB2312"/>
          <w:sz w:val="32"/>
          <w:szCs w:val="32"/>
          <w:lang w:eastAsia="zh-CN"/>
        </w:rPr>
        <w:t>做细财务报销制度，</w:t>
      </w:r>
      <w:r>
        <w:rPr>
          <w:rFonts w:hint="eastAsia" w:ascii="仿宋_GB2312" w:hAnsi="仿宋_GB2312" w:eastAsia="仿宋_GB2312" w:cs="仿宋_GB2312"/>
          <w:sz w:val="32"/>
          <w:szCs w:val="32"/>
          <w:lang w:val="en-US" w:eastAsia="zh-CN"/>
        </w:rPr>
        <w:t>规定调研</w:t>
      </w:r>
      <w:r>
        <w:rPr>
          <w:rFonts w:hint="eastAsia" w:ascii="仿宋_GB2312" w:hAnsi="仿宋_GB2312" w:eastAsia="仿宋_GB2312" w:cs="仿宋_GB2312"/>
          <w:sz w:val="32"/>
          <w:szCs w:val="32"/>
          <w:lang w:eastAsia="zh-CN"/>
        </w:rPr>
        <w:t>成果转化要求。</w:t>
      </w:r>
      <w:r>
        <w:rPr>
          <w:rFonts w:hint="eastAsia" w:ascii="仿宋_GB2312" w:hAnsi="宋体" w:eastAsia="仿宋_GB2312" w:cs="宋体"/>
          <w:b/>
          <w:bCs w:val="0"/>
          <w:color w:val="000000"/>
          <w:spacing w:val="0"/>
          <w:kern w:val="0"/>
          <w:sz w:val="32"/>
          <w:szCs w:val="32"/>
          <w:highlight w:val="none"/>
          <w:lang w:val="en-US" w:eastAsia="zh-CN"/>
        </w:rPr>
        <w:t>三是</w:t>
      </w:r>
      <w:r>
        <w:rPr>
          <w:rFonts w:hint="eastAsia" w:ascii="仿宋_GB2312" w:hAnsi="宋体" w:eastAsia="仿宋_GB2312" w:cs="宋体"/>
          <w:b w:val="0"/>
          <w:bCs/>
          <w:color w:val="000000"/>
          <w:spacing w:val="0"/>
          <w:kern w:val="0"/>
          <w:sz w:val="32"/>
          <w:szCs w:val="32"/>
          <w:highlight w:val="none"/>
          <w:lang w:val="en-US" w:eastAsia="zh-CN"/>
        </w:rPr>
        <w:t>制定《北京城市副中心管理委员会内部控制手册》，梳理风险控制薄弱点并完善，进一步加强业务关键环节管控。</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资金使用合规</w:t>
      </w:r>
      <w:r>
        <w:rPr>
          <w:rFonts w:ascii="仿宋_GB2312" w:hAnsi="宋体" w:eastAsia="仿宋_GB2312" w:cs="宋体"/>
          <w:color w:val="000000"/>
          <w:kern w:val="0"/>
          <w:sz w:val="32"/>
          <w:szCs w:val="32"/>
        </w:rPr>
        <w:t>安全</w:t>
      </w:r>
      <w:r>
        <w:rPr>
          <w:rFonts w:hint="eastAsia" w:ascii="仿宋_GB2312" w:hAnsi="宋体" w:eastAsia="仿宋_GB2312" w:cs="宋体"/>
          <w:color w:val="000000"/>
          <w:kern w:val="0"/>
          <w:sz w:val="32"/>
          <w:szCs w:val="32"/>
          <w:lang w:eastAsia="zh-CN"/>
        </w:rPr>
        <w:t>。</w:t>
      </w:r>
      <w:r>
        <w:rPr>
          <w:rFonts w:ascii="仿宋_GB2312" w:hAnsi="宋体" w:eastAsia="仿宋_GB2312" w:cs="宋体"/>
          <w:b/>
          <w:color w:val="000000"/>
          <w:kern w:val="0"/>
          <w:sz w:val="32"/>
          <w:szCs w:val="32"/>
        </w:rPr>
        <w:t>一是</w:t>
      </w:r>
      <w:r>
        <w:rPr>
          <w:rFonts w:hint="eastAsia" w:ascii="仿宋_GB2312" w:hAnsi="宋体" w:eastAsia="仿宋_GB2312" w:cs="宋体"/>
          <w:color w:val="000000"/>
          <w:kern w:val="0"/>
          <w:sz w:val="32"/>
          <w:szCs w:val="32"/>
        </w:rPr>
        <w:t>资金使用符合国家财经法规和财务管理制度规定，严格执行政府采购程序流程，</w:t>
      </w:r>
      <w:r>
        <w:rPr>
          <w:rFonts w:hint="eastAsia" w:ascii="仿宋_GB2312" w:hAnsi="宋体" w:eastAsia="仿宋_GB2312" w:cs="宋体"/>
          <w:color w:val="000000"/>
          <w:kern w:val="0"/>
          <w:sz w:val="32"/>
          <w:szCs w:val="32"/>
          <w:lang w:eastAsia="zh-CN"/>
        </w:rPr>
        <w:t>严格开展政府购买服务，严禁将自身履职事项委托第三方</w:t>
      </w:r>
      <w:r>
        <w:rPr>
          <w:rFonts w:hint="eastAsia" w:ascii="仿宋_GB2312" w:hAnsi="宋体" w:eastAsia="仿宋_GB2312" w:cs="宋体"/>
          <w:color w:val="000000"/>
          <w:kern w:val="0"/>
          <w:sz w:val="32"/>
          <w:szCs w:val="32"/>
        </w:rPr>
        <w:t>。</w:t>
      </w:r>
      <w:r>
        <w:rPr>
          <w:rFonts w:hint="eastAsia" w:ascii="仿宋_GB2312" w:hAnsi="宋体" w:eastAsia="仿宋_GB2312" w:cs="宋体"/>
          <w:b/>
          <w:color w:val="000000"/>
          <w:kern w:val="0"/>
          <w:sz w:val="32"/>
          <w:szCs w:val="32"/>
        </w:rPr>
        <w:t>二是</w:t>
      </w:r>
      <w:r>
        <w:rPr>
          <w:rFonts w:hint="eastAsia" w:ascii="仿宋_GB2312" w:hAnsi="宋体" w:eastAsia="仿宋_GB2312" w:cs="宋体"/>
          <w:b w:val="0"/>
          <w:bCs/>
          <w:color w:val="000000"/>
          <w:kern w:val="0"/>
          <w:sz w:val="32"/>
          <w:szCs w:val="32"/>
        </w:rPr>
        <w:t>严格落实《预算资金管理</w:t>
      </w:r>
      <w:r>
        <w:rPr>
          <w:rFonts w:hint="eastAsia" w:ascii="仿宋_GB2312" w:hAnsi="宋体" w:eastAsia="仿宋_GB2312" w:cs="宋体"/>
          <w:b w:val="0"/>
          <w:bCs/>
          <w:color w:val="000000"/>
          <w:kern w:val="0"/>
          <w:sz w:val="32"/>
          <w:szCs w:val="32"/>
          <w:lang w:eastAsia="zh-CN"/>
        </w:rPr>
        <w:t>办法</w:t>
      </w:r>
      <w:r>
        <w:rPr>
          <w:rFonts w:hint="eastAsia" w:ascii="仿宋_GB2312" w:hAnsi="宋体" w:eastAsia="仿宋_GB2312" w:cs="宋体"/>
          <w:b w:val="0"/>
          <w:bCs/>
          <w:color w:val="000000"/>
          <w:kern w:val="0"/>
          <w:sz w:val="32"/>
          <w:szCs w:val="32"/>
        </w:rPr>
        <w:t>》和重大支出集体研究制度，</w:t>
      </w:r>
      <w:r>
        <w:rPr>
          <w:rFonts w:hint="eastAsia" w:ascii="仿宋_GB2312" w:hAnsi="宋体" w:eastAsia="仿宋_GB2312" w:cs="宋体"/>
          <w:color w:val="000000"/>
          <w:kern w:val="0"/>
          <w:sz w:val="32"/>
          <w:szCs w:val="32"/>
        </w:rPr>
        <w:t>资金拨付审批程序和手续完整</w:t>
      </w:r>
      <w:r>
        <w:rPr>
          <w:rFonts w:hint="eastAsia" w:ascii="仿宋_GB2312" w:hAnsi="宋体" w:eastAsia="仿宋_GB2312" w:cs="宋体"/>
          <w:color w:val="000000"/>
          <w:kern w:val="0"/>
          <w:sz w:val="32"/>
          <w:szCs w:val="32"/>
          <w:lang w:eastAsia="zh-CN"/>
        </w:rPr>
        <w:t>。按照</w:t>
      </w:r>
      <w:r>
        <w:rPr>
          <w:rFonts w:hint="eastAsia" w:ascii="仿宋_GB2312" w:hAnsi="宋体" w:eastAsia="仿宋_GB2312" w:cs="宋体"/>
          <w:color w:val="000000"/>
          <w:kern w:val="0"/>
          <w:sz w:val="32"/>
          <w:szCs w:val="32"/>
        </w:rPr>
        <w:t>“谁主管、谁审批、谁负责”的原则，</w:t>
      </w:r>
      <w:r>
        <w:rPr>
          <w:rFonts w:hint="eastAsia" w:ascii="仿宋_GB2312" w:hAnsi="宋体" w:eastAsia="仿宋_GB2312" w:cs="宋体"/>
          <w:color w:val="000000"/>
          <w:kern w:val="0"/>
          <w:sz w:val="32"/>
          <w:szCs w:val="32"/>
          <w:lang w:eastAsia="zh-CN"/>
        </w:rPr>
        <w:t>根据</w:t>
      </w:r>
      <w:r>
        <w:rPr>
          <w:rFonts w:hint="eastAsia" w:ascii="仿宋_GB2312" w:hAnsi="宋体" w:eastAsia="仿宋_GB2312" w:cs="宋体"/>
          <w:color w:val="000000"/>
          <w:kern w:val="0"/>
          <w:sz w:val="32"/>
          <w:szCs w:val="32"/>
        </w:rPr>
        <w:t>规定权限履行经费审批手续，合理合规</w:t>
      </w:r>
      <w:r>
        <w:rPr>
          <w:rFonts w:ascii="仿宋_GB2312" w:hAnsi="宋体" w:eastAsia="仿宋_GB2312" w:cs="宋体"/>
          <w:color w:val="000000"/>
          <w:kern w:val="0"/>
          <w:sz w:val="32"/>
          <w:szCs w:val="32"/>
        </w:rPr>
        <w:t>使用</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资金。</w:t>
      </w:r>
      <w:r>
        <w:rPr>
          <w:rFonts w:hint="eastAsia" w:ascii="仿宋_GB2312" w:hAnsi="宋体" w:eastAsia="仿宋_GB2312" w:cs="宋体"/>
          <w:b/>
          <w:color w:val="000000"/>
          <w:kern w:val="0"/>
          <w:sz w:val="32"/>
          <w:szCs w:val="32"/>
        </w:rPr>
        <w:t>三是</w:t>
      </w:r>
      <w:r>
        <w:rPr>
          <w:rFonts w:hint="eastAsia" w:ascii="仿宋_GB2312" w:hAnsi="宋体" w:eastAsia="仿宋_GB2312" w:cs="宋体"/>
          <w:color w:val="000000"/>
          <w:kern w:val="0"/>
          <w:sz w:val="32"/>
          <w:szCs w:val="32"/>
        </w:rPr>
        <w:t>资金使用符合规定的开支范围，严格按照部门预算批复用途执行。</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严格按照《行政单位会计制度》等要求编制财务资料，部门决算报表、会计记账凭证等基础数据信息和会计信息资料较为完整，未发现基础数据、会计资料不准确、不真实的情况。</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启用预算管理一体化系统会计核算模块，开展账务处理工作，提升财务信息化水平</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提升财务处理精准度</w:t>
      </w:r>
      <w:r>
        <w:rPr>
          <w:rFonts w:hint="eastAsia" w:ascii="仿宋_GB2312" w:hAnsi="宋体" w:eastAsia="仿宋_GB2312" w:cs="宋体"/>
          <w:color w:val="000000"/>
          <w:kern w:val="0"/>
          <w:sz w:val="32"/>
          <w:szCs w:val="32"/>
          <w:lang w:eastAsia="zh-CN"/>
        </w:rPr>
        <w:t>。</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000000"/>
          <w:kern w:val="0"/>
          <w:sz w:val="32"/>
          <w:szCs w:val="32"/>
        </w:rPr>
      </w:pPr>
      <w:r>
        <w:rPr>
          <w:rFonts w:hint="eastAsia" w:ascii="楷体_GB2312" w:eastAsia="楷体_GB2312"/>
          <w:sz w:val="32"/>
          <w:szCs w:val="32"/>
        </w:rPr>
        <w:t>（二）资产管理</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lang w:eastAsia="zh-CN"/>
        </w:rPr>
        <w:t>城市副中心管委会</w:t>
      </w:r>
      <w:r>
        <w:rPr>
          <w:rFonts w:hint="eastAsia" w:ascii="仿宋_GB2312" w:hAnsi="仿宋" w:eastAsia="仿宋_GB2312" w:cs="宋体"/>
          <w:color w:val="000000"/>
          <w:kern w:val="0"/>
          <w:sz w:val="32"/>
          <w:szCs w:val="32"/>
        </w:rPr>
        <w:t>资产</w:t>
      </w:r>
      <w:r>
        <w:rPr>
          <w:rFonts w:ascii="仿宋_GB2312" w:hAnsi="仿宋" w:eastAsia="仿宋_GB2312" w:cs="宋体"/>
          <w:color w:val="000000"/>
          <w:kern w:val="0"/>
          <w:sz w:val="32"/>
          <w:szCs w:val="32"/>
        </w:rPr>
        <w:t>管理规范，制度健全，</w:t>
      </w:r>
      <w:r>
        <w:rPr>
          <w:rFonts w:hint="eastAsia" w:ascii="仿宋_GB2312" w:hAnsi="仿宋" w:eastAsia="仿宋_GB2312" w:cs="宋体"/>
          <w:color w:val="000000"/>
          <w:kern w:val="0"/>
          <w:sz w:val="32"/>
          <w:szCs w:val="32"/>
        </w:rPr>
        <w:t>分工明确</w:t>
      </w:r>
      <w:r>
        <w:rPr>
          <w:rFonts w:ascii="仿宋_GB2312" w:hAnsi="仿宋" w:eastAsia="仿宋_GB2312" w:cs="宋体"/>
          <w:color w:val="000000"/>
          <w:kern w:val="0"/>
          <w:sz w:val="32"/>
          <w:szCs w:val="32"/>
        </w:rPr>
        <w:t>，执行有效</w:t>
      </w:r>
      <w:r>
        <w:rPr>
          <w:rFonts w:hint="eastAsia" w:ascii="仿宋_GB2312" w:hAnsi="仿宋" w:eastAsia="仿宋_GB2312" w:cs="宋体"/>
          <w:color w:val="000000"/>
          <w:kern w:val="0"/>
          <w:sz w:val="32"/>
          <w:szCs w:val="32"/>
        </w:rPr>
        <w:t>。资产</w:t>
      </w:r>
      <w:r>
        <w:rPr>
          <w:rFonts w:ascii="仿宋_GB2312" w:hAnsi="仿宋" w:eastAsia="仿宋_GB2312" w:cs="宋体"/>
          <w:color w:val="000000"/>
          <w:kern w:val="0"/>
          <w:sz w:val="32"/>
          <w:szCs w:val="32"/>
        </w:rPr>
        <w:t>保持、配置、使用和处置</w:t>
      </w:r>
      <w:r>
        <w:rPr>
          <w:rFonts w:hint="eastAsia" w:ascii="仿宋_GB2312" w:hAnsi="仿宋" w:eastAsia="仿宋_GB2312" w:cs="宋体"/>
          <w:color w:val="000000"/>
          <w:kern w:val="0"/>
          <w:sz w:val="32"/>
          <w:szCs w:val="32"/>
        </w:rPr>
        <w:t>严格执行各项资产管理制度规定。目前</w:t>
      </w:r>
      <w:r>
        <w:rPr>
          <w:rFonts w:ascii="仿宋_GB2312" w:hAnsi="仿宋" w:eastAsia="仿宋_GB2312" w:cs="宋体"/>
          <w:color w:val="000000"/>
          <w:kern w:val="0"/>
          <w:sz w:val="32"/>
          <w:szCs w:val="32"/>
        </w:rPr>
        <w:t>，已</w:t>
      </w:r>
      <w:r>
        <w:rPr>
          <w:rFonts w:hint="eastAsia" w:ascii="仿宋_GB2312" w:hAnsi="仿宋" w:eastAsia="仿宋_GB2312" w:cs="宋体"/>
          <w:color w:val="000000"/>
          <w:kern w:val="0"/>
          <w:sz w:val="32"/>
          <w:szCs w:val="32"/>
        </w:rPr>
        <w:t>制定了《</w:t>
      </w:r>
      <w:r>
        <w:rPr>
          <w:rFonts w:hint="eastAsia" w:ascii="仿宋_GB2312" w:hAnsi="仿宋" w:eastAsia="仿宋_GB2312" w:cs="宋体"/>
          <w:color w:val="000000"/>
          <w:kern w:val="0"/>
          <w:sz w:val="32"/>
          <w:szCs w:val="32"/>
          <w:lang w:eastAsia="zh-CN"/>
        </w:rPr>
        <w:t>北京城市副中心</w:t>
      </w:r>
      <w:r>
        <w:rPr>
          <w:rFonts w:hint="eastAsia" w:ascii="仿宋_GB2312" w:hAnsi="仿宋" w:eastAsia="仿宋_GB2312" w:cs="宋体"/>
          <w:color w:val="000000"/>
          <w:kern w:val="0"/>
          <w:sz w:val="32"/>
          <w:szCs w:val="32"/>
        </w:rPr>
        <w:t>固定资产管理制度》等制度办法，细化资产管理工作流程，建立固定资产购置、调拨、</w:t>
      </w:r>
      <w:r>
        <w:rPr>
          <w:rFonts w:hint="eastAsia" w:ascii="仿宋_GB2312" w:hAnsi="仿宋" w:eastAsia="仿宋_GB2312" w:cs="宋体"/>
          <w:color w:val="000000"/>
          <w:kern w:val="0"/>
          <w:sz w:val="32"/>
          <w:szCs w:val="32"/>
          <w:lang w:eastAsia="zh-CN"/>
        </w:rPr>
        <w:t>盘点及处置</w:t>
      </w:r>
      <w:r>
        <w:rPr>
          <w:rFonts w:hint="eastAsia" w:ascii="仿宋_GB2312" w:hAnsi="仿宋" w:eastAsia="仿宋_GB2312" w:cs="宋体"/>
          <w:color w:val="000000"/>
          <w:kern w:val="0"/>
          <w:sz w:val="32"/>
          <w:szCs w:val="32"/>
        </w:rPr>
        <w:t>的全过程监管机制，未出现资产严重损失、丢失等</w:t>
      </w:r>
      <w:r>
        <w:rPr>
          <w:rFonts w:ascii="仿宋_GB2312" w:hAnsi="仿宋" w:eastAsia="仿宋_GB2312" w:cs="宋体"/>
          <w:color w:val="000000"/>
          <w:kern w:val="0"/>
          <w:sz w:val="32"/>
          <w:szCs w:val="32"/>
        </w:rPr>
        <w:t>情况</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不存在</w:t>
      </w:r>
      <w:r>
        <w:rPr>
          <w:rFonts w:hint="eastAsia" w:ascii="仿宋_GB2312" w:hAnsi="仿宋" w:eastAsia="仿宋_GB2312" w:cs="宋体"/>
          <w:color w:val="000000"/>
          <w:kern w:val="0"/>
          <w:sz w:val="32"/>
          <w:szCs w:val="32"/>
        </w:rPr>
        <w:t>超标准配置资产、</w:t>
      </w:r>
      <w:r>
        <w:rPr>
          <w:rFonts w:ascii="仿宋_GB2312" w:hAnsi="仿宋" w:eastAsia="仿宋_GB2312" w:cs="宋体"/>
          <w:color w:val="000000"/>
          <w:kern w:val="0"/>
          <w:sz w:val="32"/>
          <w:szCs w:val="32"/>
        </w:rPr>
        <w:t>未经审批出租出借</w:t>
      </w:r>
      <w:r>
        <w:rPr>
          <w:rFonts w:hint="eastAsia" w:ascii="仿宋_GB2312" w:hAnsi="仿宋" w:eastAsia="仿宋_GB2312" w:cs="宋体"/>
          <w:color w:val="000000"/>
          <w:kern w:val="0"/>
          <w:sz w:val="32"/>
          <w:szCs w:val="32"/>
        </w:rPr>
        <w:t>或</w:t>
      </w:r>
      <w:r>
        <w:rPr>
          <w:rFonts w:ascii="仿宋_GB2312" w:hAnsi="仿宋" w:eastAsia="仿宋_GB2312" w:cs="宋体"/>
          <w:color w:val="000000"/>
          <w:kern w:val="0"/>
          <w:sz w:val="32"/>
          <w:szCs w:val="32"/>
        </w:rPr>
        <w:t>处置资产等情况。</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宋体"/>
          <w:color w:val="000000"/>
          <w:kern w:val="0"/>
          <w:sz w:val="32"/>
          <w:szCs w:val="32"/>
        </w:rPr>
      </w:pPr>
      <w:r>
        <w:rPr>
          <w:rFonts w:hint="eastAsia" w:ascii="楷体_GB2312" w:eastAsia="楷体_GB2312"/>
          <w:sz w:val="32"/>
          <w:szCs w:val="32"/>
        </w:rPr>
        <w:t>（三）绩效</w:t>
      </w:r>
      <w:r>
        <w:rPr>
          <w:rFonts w:ascii="楷体_GB2312" w:eastAsia="楷体_GB2312"/>
          <w:sz w:val="32"/>
          <w:szCs w:val="32"/>
        </w:rPr>
        <w:t>管理</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围绕202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年部门预算执行、整体绩效目标实现和预算管理情况开展整体自评，进一步压实绩效监督责任，深化绩效管理。</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（四）结转结余率</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2024年部门年末结转结余资金总额为1545.78万元，全年支出预算数为11904.24万元，资金结转结余率为13%</w:t>
      </w:r>
      <w:r>
        <w:rPr>
          <w:rFonts w:hint="eastAsia" w:ascii="仿宋_GB2312" w:cs="Times New Roman"/>
          <w:kern w:val="2"/>
          <w:sz w:val="32"/>
          <w:szCs w:val="32"/>
          <w:highlight w:val="none"/>
          <w:lang w:val="en-US" w:eastAsia="zh-CN" w:bidi="ar-SA"/>
        </w:rPr>
        <w:t>，扣0.6分</w:t>
      </w:r>
      <w:r>
        <w:rPr>
          <w:rFonts w:hint="eastAsia" w:ascii="仿宋_GB2312" w:hAnsi="Times New Roman" w:eastAsia="仿宋_GB2312" w:cs="Times New Roman"/>
          <w:kern w:val="2"/>
          <w:sz w:val="32"/>
          <w:szCs w:val="32"/>
          <w:highlight w:val="none"/>
          <w:lang w:val="en-US" w:eastAsia="zh-CN" w:bidi="ar-SA"/>
        </w:rPr>
        <w:t>。主要是市级下达的重大谋划项目经费未达到支付条件，</w:t>
      </w:r>
      <w:r>
        <w:rPr>
          <w:rFonts w:hint="eastAsia" w:ascii="仿宋_GB2312" w:cs="Times New Roman"/>
          <w:kern w:val="2"/>
          <w:sz w:val="32"/>
          <w:szCs w:val="32"/>
          <w:highlight w:val="none"/>
          <w:lang w:val="en-US" w:eastAsia="zh-CN" w:bidi="ar-SA"/>
        </w:rPr>
        <w:t>结转至下年支付</w:t>
      </w:r>
      <w:r>
        <w:rPr>
          <w:rFonts w:hint="eastAsia" w:ascii="仿宋_GB2312" w:hAnsi="Times New Roman" w:eastAsia="仿宋_GB2312" w:cs="Times New Roman"/>
          <w:kern w:val="2"/>
          <w:sz w:val="32"/>
          <w:szCs w:val="32"/>
          <w:highlight w:val="none"/>
          <w:lang w:val="en-US" w:eastAsia="zh-CN" w:bidi="ar-SA"/>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default" w:ascii="楷体_GB2312" w:eastAsia="仿宋_GB2312"/>
          <w:sz w:val="32"/>
          <w:szCs w:val="32"/>
          <w:highlight w:val="none"/>
          <w:lang w:val="en-US" w:eastAsia="zh-CN"/>
        </w:rPr>
      </w:pPr>
      <w:r>
        <w:rPr>
          <w:rFonts w:hint="eastAsia" w:ascii="仿宋_GB2312" w:eastAsia="仿宋_GB2312"/>
          <w:sz w:val="32"/>
          <w:szCs w:val="32"/>
          <w:highlight w:val="none"/>
          <w:lang w:eastAsia="zh-CN"/>
        </w:rPr>
        <w:t>由于</w:t>
      </w:r>
      <w:r>
        <w:rPr>
          <w:rFonts w:hint="eastAsia" w:ascii="仿宋_GB2312" w:eastAsia="仿宋_GB2312"/>
          <w:sz w:val="32"/>
          <w:szCs w:val="32"/>
          <w:highlight w:val="none"/>
          <w:lang w:val="en-US" w:eastAsia="zh-CN"/>
        </w:rPr>
        <w:t>2024年新录用行政人员，人员预算增加引起预决算差异，</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年部门预决算差异率为</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，扣</w:t>
      </w:r>
      <w:r>
        <w:rPr>
          <w:rFonts w:hint="eastAsia" w:ascii="仿宋_GB2312" w:eastAsia="仿宋_GB2312"/>
          <w:sz w:val="32"/>
          <w:szCs w:val="32"/>
          <w:highlight w:val="none"/>
          <w:lang w:val="en-US" w:eastAsia="zh-CN"/>
        </w:rPr>
        <w:t>0.2分。</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rPr>
      </w:pPr>
      <w:r>
        <w:rPr>
          <w:rFonts w:hint="eastAsia" w:ascii="黑体" w:hAnsi="黑体" w:eastAsia="黑体"/>
          <w:sz w:val="32"/>
          <w:szCs w:val="32"/>
        </w:rPr>
        <w:t>五、总体</w:t>
      </w:r>
      <w:r>
        <w:rPr>
          <w:rFonts w:ascii="黑体" w:hAnsi="黑体" w:eastAsia="黑体"/>
          <w:sz w:val="32"/>
          <w:szCs w:val="32"/>
        </w:rPr>
        <w:t>评价结论</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部门整体绩效评价得分为</w:t>
      </w:r>
      <w:r>
        <w:rPr>
          <w:rFonts w:hint="eastAsia" w:ascii="仿宋_GB2312" w:eastAsia="仿宋_GB2312"/>
          <w:sz w:val="32"/>
          <w:szCs w:val="32"/>
          <w:highlight w:val="none"/>
          <w:lang w:val="en-US" w:eastAsia="zh-CN"/>
        </w:rPr>
        <w:t>99.8</w:t>
      </w:r>
      <w:r>
        <w:rPr>
          <w:rFonts w:hint="eastAsia" w:ascii="仿宋_GB2312" w:eastAsia="仿宋_GB2312"/>
          <w:sz w:val="32"/>
          <w:szCs w:val="32"/>
          <w:highlight w:val="none"/>
        </w:rPr>
        <w:t>分</w:t>
      </w:r>
      <w:r>
        <w:rPr>
          <w:rFonts w:hint="eastAsia" w:ascii="仿宋_GB2312" w:eastAsia="仿宋_GB2312"/>
          <w:sz w:val="32"/>
          <w:szCs w:val="32"/>
          <w:highlight w:val="none"/>
          <w:lang w:eastAsia="zh-CN"/>
        </w:rPr>
        <w:t>，具体情况见下表：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420" w:firstLineChars="20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2024</w:t>
      </w:r>
      <w:r>
        <w:rPr>
          <w:rFonts w:hint="eastAsia" w:asciiTheme="minorEastAsia" w:hAnsiTheme="minorEastAsia" w:eastAsiaTheme="minorEastAsia" w:cstheme="minorEastAsia"/>
          <w:color w:val="auto"/>
          <w:sz w:val="21"/>
          <w:szCs w:val="21"/>
          <w:highlight w:val="none"/>
        </w:rPr>
        <w:t>年部门整体绩效得分情况表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4"/>
        <w:gridCol w:w="1377"/>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blHeader/>
          <w:jc w:val="center"/>
        </w:trPr>
        <w:tc>
          <w:tcPr>
            <w:tcW w:w="287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一级指标</w:t>
            </w:r>
          </w:p>
        </w:tc>
        <w:tc>
          <w:tcPr>
            <w:tcW w:w="1377"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分值</w:t>
            </w:r>
          </w:p>
        </w:tc>
        <w:tc>
          <w:tcPr>
            <w:tcW w:w="134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当年预算执行情况</w:t>
            </w:r>
          </w:p>
        </w:tc>
        <w:tc>
          <w:tcPr>
            <w:tcW w:w="1377"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20</w:t>
            </w:r>
          </w:p>
        </w:tc>
        <w:tc>
          <w:tcPr>
            <w:tcW w:w="134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整体绩效目标实现情况</w:t>
            </w:r>
          </w:p>
        </w:tc>
        <w:tc>
          <w:tcPr>
            <w:tcW w:w="1377"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60</w:t>
            </w:r>
          </w:p>
        </w:tc>
        <w:tc>
          <w:tcPr>
            <w:tcW w:w="134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预算管理情况</w:t>
            </w:r>
          </w:p>
        </w:tc>
        <w:tc>
          <w:tcPr>
            <w:tcW w:w="1377"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20</w:t>
            </w:r>
          </w:p>
        </w:tc>
        <w:tc>
          <w:tcPr>
            <w:tcW w:w="134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合计</w:t>
            </w:r>
          </w:p>
        </w:tc>
        <w:tc>
          <w:tcPr>
            <w:tcW w:w="1377"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100</w:t>
            </w:r>
          </w:p>
        </w:tc>
        <w:tc>
          <w:tcPr>
            <w:tcW w:w="1344" w:type="dxa"/>
            <w:vAlign w:val="center"/>
          </w:tcPr>
          <w:p>
            <w:pPr>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010000" w:fill="auto"/>
              <w:kinsoku/>
              <w:wordWrap/>
              <w:overflowPunct/>
              <w:topLinePunct w:val="0"/>
              <w:autoSpaceDE/>
              <w:autoSpaceDN/>
              <w:bidi w:val="0"/>
              <w:spacing w:line="0" w:lineRule="atLeas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99.8</w:t>
            </w:r>
          </w:p>
        </w:tc>
      </w:tr>
    </w:tbl>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highlight w:val="lightGray"/>
        </w:rPr>
      </w:pPr>
      <w:r>
        <w:rPr>
          <w:rFonts w:hint="eastAsia" w:ascii="楷体_GB2312" w:eastAsia="楷体_GB2312"/>
          <w:sz w:val="32"/>
          <w:szCs w:val="32"/>
          <w:highlight w:val="none"/>
        </w:rPr>
        <w:t>（二）存在的问题及原因分析</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楷体_GB2312" w:eastAsia="楷体_GB2312"/>
          <w:sz w:val="32"/>
          <w:szCs w:val="32"/>
        </w:rPr>
      </w:pPr>
      <w:r>
        <w:rPr>
          <w:rFonts w:hint="eastAsia" w:ascii="仿宋_GB2312" w:eastAsia="仿宋_GB2312"/>
          <w:sz w:val="32"/>
          <w:szCs w:val="32"/>
          <w:lang w:eastAsia="zh-CN"/>
        </w:rPr>
        <w:t>城市副中心管委会</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年度项目支出和任务开展操作规范、依据明确，能够紧紧围绕全委中心工作科学使用各项预算经费，资金使用合规，项目效益突出，为</w:t>
      </w:r>
      <w:r>
        <w:rPr>
          <w:rFonts w:hint="eastAsia" w:ascii="仿宋_GB2312" w:eastAsia="仿宋_GB2312"/>
          <w:sz w:val="32"/>
          <w:szCs w:val="32"/>
          <w:lang w:eastAsia="zh-CN"/>
        </w:rPr>
        <w:t>城市副中心</w:t>
      </w:r>
      <w:r>
        <w:rPr>
          <w:rFonts w:hint="eastAsia" w:ascii="仿宋_GB2312" w:eastAsia="仿宋_GB2312"/>
          <w:sz w:val="32"/>
          <w:szCs w:val="32"/>
        </w:rPr>
        <w:t>工作开展提供了有力支撑。但在绩效评价</w:t>
      </w:r>
      <w:r>
        <w:rPr>
          <w:rFonts w:ascii="仿宋_GB2312" w:eastAsia="仿宋_GB2312"/>
          <w:sz w:val="32"/>
          <w:szCs w:val="32"/>
        </w:rPr>
        <w:t>过程中，</w:t>
      </w:r>
      <w:r>
        <w:rPr>
          <w:rFonts w:hint="eastAsia" w:ascii="仿宋_GB2312" w:eastAsia="仿宋_GB2312"/>
          <w:sz w:val="32"/>
          <w:szCs w:val="32"/>
        </w:rPr>
        <w:t>也发现</w:t>
      </w:r>
      <w:r>
        <w:rPr>
          <w:rFonts w:hint="eastAsia" w:ascii="仿宋_GB2312" w:eastAsia="仿宋_GB2312"/>
          <w:sz w:val="32"/>
          <w:szCs w:val="32"/>
          <w:lang w:eastAsia="zh-CN"/>
        </w:rPr>
        <w:t>对于社会效益、生态效益等效益</w:t>
      </w:r>
      <w:r>
        <w:rPr>
          <w:rFonts w:hint="eastAsia" w:ascii="仿宋_GB2312" w:eastAsia="仿宋_GB2312"/>
          <w:sz w:val="32"/>
          <w:szCs w:val="32"/>
        </w:rPr>
        <w:t>指标</w:t>
      </w:r>
      <w:r>
        <w:rPr>
          <w:rFonts w:ascii="仿宋_GB2312" w:eastAsia="仿宋_GB2312"/>
          <w:sz w:val="32"/>
          <w:szCs w:val="32"/>
        </w:rPr>
        <w:t>设置</w:t>
      </w:r>
      <w:r>
        <w:rPr>
          <w:rFonts w:hint="eastAsia" w:ascii="仿宋_GB2312" w:eastAsia="仿宋_GB2312"/>
          <w:sz w:val="32"/>
          <w:szCs w:val="32"/>
        </w:rPr>
        <w:t>的</w:t>
      </w:r>
      <w:r>
        <w:rPr>
          <w:rFonts w:ascii="仿宋_GB2312" w:eastAsia="仿宋_GB2312"/>
          <w:sz w:val="32"/>
          <w:szCs w:val="32"/>
        </w:rPr>
        <w:t>完整性</w:t>
      </w:r>
      <w:r>
        <w:rPr>
          <w:rFonts w:hint="eastAsia" w:ascii="仿宋_GB2312" w:eastAsia="仿宋_GB2312"/>
          <w:sz w:val="32"/>
          <w:szCs w:val="32"/>
        </w:rPr>
        <w:t>还不够</w:t>
      </w:r>
      <w:r>
        <w:rPr>
          <w:rFonts w:ascii="仿宋_GB2312" w:eastAsia="仿宋_GB2312"/>
          <w:sz w:val="32"/>
          <w:szCs w:val="32"/>
        </w:rPr>
        <w:t>强，</w:t>
      </w:r>
      <w:r>
        <w:rPr>
          <w:rFonts w:hint="eastAsia" w:ascii="仿宋_GB2312" w:eastAsia="仿宋_GB2312"/>
          <w:sz w:val="32"/>
          <w:szCs w:val="32"/>
          <w:lang w:eastAsia="zh-CN"/>
        </w:rPr>
        <w:t>还</w:t>
      </w:r>
      <w:r>
        <w:rPr>
          <w:rFonts w:hint="eastAsia" w:ascii="仿宋_GB2312" w:eastAsia="仿宋_GB2312"/>
          <w:sz w:val="32"/>
          <w:szCs w:val="32"/>
        </w:rPr>
        <w:t>需要进一步完善</w:t>
      </w:r>
      <w:r>
        <w:rPr>
          <w:rFonts w:ascii="仿宋_GB2312" w:eastAsia="仿宋_GB2312"/>
          <w:sz w:val="32"/>
          <w:szCs w:val="32"/>
        </w:rPr>
        <w:t>和改进。</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firstLine="640" w:firstLineChars="200"/>
        <w:textAlignment w:val="auto"/>
        <w:rPr>
          <w:rFonts w:hint="eastAsia" w:eastAsia="仿宋_GB2312"/>
          <w:lang w:eastAsia="zh-CN"/>
        </w:rPr>
      </w:pPr>
      <w:r>
        <w:rPr>
          <w:rFonts w:hint="eastAsia" w:ascii="仿宋_GB2312" w:eastAsia="仿宋_GB2312"/>
          <w:sz w:val="32"/>
          <w:szCs w:val="32"/>
        </w:rPr>
        <w:t>加强财政预算绩效管理理念及目标导向意识，科学填报项目总体目标及各项绩效指标，保证绩效目标的明确性、全面性、合理性、细化量化及可考量性。在编制202</w:t>
      </w:r>
      <w:r>
        <w:rPr>
          <w:rFonts w:hint="eastAsia" w:ascii="仿宋_GB2312" w:eastAsia="仿宋_GB2312"/>
          <w:sz w:val="32"/>
          <w:szCs w:val="32"/>
          <w:lang w:val="en-US" w:eastAsia="zh-CN"/>
        </w:rPr>
        <w:t>5</w:t>
      </w:r>
      <w:r>
        <w:rPr>
          <w:rFonts w:hint="eastAsia" w:ascii="仿宋_GB2312" w:eastAsia="仿宋_GB2312"/>
          <w:sz w:val="32"/>
          <w:szCs w:val="32"/>
        </w:rPr>
        <w:t>年预算绩效目标</w:t>
      </w:r>
      <w:r>
        <w:rPr>
          <w:rFonts w:hint="eastAsia" w:ascii="仿宋_GB2312" w:hAnsi="宋体" w:eastAsia="仿宋_GB2312"/>
          <w:sz w:val="32"/>
          <w:szCs w:val="32"/>
        </w:rPr>
        <w:t>时</w:t>
      </w:r>
      <w:r>
        <w:rPr>
          <w:rFonts w:hint="eastAsia" w:ascii="仿宋_GB2312" w:hAnsi="宋体" w:eastAsia="仿宋_GB2312"/>
          <w:sz w:val="32"/>
          <w:szCs w:val="32"/>
          <w:lang w:eastAsia="zh-CN"/>
        </w:rPr>
        <w:t>加以改进</w:t>
      </w:r>
      <w:r>
        <w:rPr>
          <w:rFonts w:hint="eastAsia" w:ascii="仿宋_GB2312" w:hAnsi="宋体" w:eastAsia="仿宋_GB2312"/>
          <w:sz w:val="32"/>
          <w:szCs w:val="32"/>
        </w:rPr>
        <w:t>，做到申报目标与实施效果相匹配</w:t>
      </w:r>
      <w:r>
        <w:rPr>
          <w:rFonts w:hint="eastAsia" w:ascii="仿宋_GB2312" w:hAnsi="宋体" w:eastAsia="仿宋_GB2312"/>
          <w:sz w:val="32"/>
          <w:szCs w:val="32"/>
          <w:lang w:eastAsia="zh-CN"/>
        </w:rPr>
        <w:t>。</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56</w:t>
                          </w:r>
                          <w:r>
                            <w:rPr>
                              <w:rFonts w:hint="eastAsia" w:ascii="仿宋_GB2312" w:hAnsi="仿宋_GB2312" w:eastAsia="仿宋_GB2312" w:cs="仿宋_GB2312"/>
                              <w:sz w:val="21"/>
                              <w:szCs w:val="21"/>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56</w:t>
                    </w:r>
                    <w:r>
                      <w:rPr>
                        <w:rFonts w:hint="eastAsia" w:ascii="仿宋_GB2312" w:hAnsi="仿宋_GB2312" w:eastAsia="仿宋_GB2312" w:cs="仿宋_GB2312"/>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F77F09F4"/>
    <w:rsid w:val="00003E03"/>
    <w:rsid w:val="000051D9"/>
    <w:rsid w:val="00013AF9"/>
    <w:rsid w:val="00022B0F"/>
    <w:rsid w:val="00023DE4"/>
    <w:rsid w:val="000262FA"/>
    <w:rsid w:val="0002764A"/>
    <w:rsid w:val="0003122D"/>
    <w:rsid w:val="00035CDD"/>
    <w:rsid w:val="0003796D"/>
    <w:rsid w:val="000409AA"/>
    <w:rsid w:val="000621B7"/>
    <w:rsid w:val="000656B7"/>
    <w:rsid w:val="000720EC"/>
    <w:rsid w:val="0007260B"/>
    <w:rsid w:val="000813A5"/>
    <w:rsid w:val="00094DF2"/>
    <w:rsid w:val="00095F61"/>
    <w:rsid w:val="000A3B30"/>
    <w:rsid w:val="000A7007"/>
    <w:rsid w:val="000A7F88"/>
    <w:rsid w:val="000B161E"/>
    <w:rsid w:val="000B49AA"/>
    <w:rsid w:val="000C0ED9"/>
    <w:rsid w:val="000C187F"/>
    <w:rsid w:val="000C2D35"/>
    <w:rsid w:val="000C4E22"/>
    <w:rsid w:val="000C771E"/>
    <w:rsid w:val="000D2D95"/>
    <w:rsid w:val="000E3146"/>
    <w:rsid w:val="000E6721"/>
    <w:rsid w:val="001025A3"/>
    <w:rsid w:val="00104592"/>
    <w:rsid w:val="0010705B"/>
    <w:rsid w:val="00113487"/>
    <w:rsid w:val="00117578"/>
    <w:rsid w:val="00123A06"/>
    <w:rsid w:val="00125B15"/>
    <w:rsid w:val="001301F2"/>
    <w:rsid w:val="001307A9"/>
    <w:rsid w:val="00135323"/>
    <w:rsid w:val="00136D3F"/>
    <w:rsid w:val="00136E31"/>
    <w:rsid w:val="00142BB8"/>
    <w:rsid w:val="00143E13"/>
    <w:rsid w:val="001500A1"/>
    <w:rsid w:val="00150BDA"/>
    <w:rsid w:val="00157FBE"/>
    <w:rsid w:val="001604AB"/>
    <w:rsid w:val="001607F7"/>
    <w:rsid w:val="00170125"/>
    <w:rsid w:val="001810FC"/>
    <w:rsid w:val="00185A1E"/>
    <w:rsid w:val="00191C59"/>
    <w:rsid w:val="00195BA8"/>
    <w:rsid w:val="0019683D"/>
    <w:rsid w:val="001A5EF1"/>
    <w:rsid w:val="001B1CA9"/>
    <w:rsid w:val="001B688B"/>
    <w:rsid w:val="001B6F3E"/>
    <w:rsid w:val="001C4684"/>
    <w:rsid w:val="001C4783"/>
    <w:rsid w:val="001C6B75"/>
    <w:rsid w:val="001D64B9"/>
    <w:rsid w:val="001D6B20"/>
    <w:rsid w:val="001F3575"/>
    <w:rsid w:val="001F5E2C"/>
    <w:rsid w:val="002046FF"/>
    <w:rsid w:val="0021389A"/>
    <w:rsid w:val="00222CCE"/>
    <w:rsid w:val="00235B26"/>
    <w:rsid w:val="00245E03"/>
    <w:rsid w:val="00245F76"/>
    <w:rsid w:val="00246C90"/>
    <w:rsid w:val="002544B0"/>
    <w:rsid w:val="002545FC"/>
    <w:rsid w:val="00254A0E"/>
    <w:rsid w:val="00255219"/>
    <w:rsid w:val="00285883"/>
    <w:rsid w:val="0029162E"/>
    <w:rsid w:val="002B3241"/>
    <w:rsid w:val="002C7F90"/>
    <w:rsid w:val="002F39A0"/>
    <w:rsid w:val="00305FB4"/>
    <w:rsid w:val="00321050"/>
    <w:rsid w:val="00323B99"/>
    <w:rsid w:val="003358EA"/>
    <w:rsid w:val="00345A76"/>
    <w:rsid w:val="00357DB2"/>
    <w:rsid w:val="00366B8B"/>
    <w:rsid w:val="0037054E"/>
    <w:rsid w:val="00382CF8"/>
    <w:rsid w:val="00387B0B"/>
    <w:rsid w:val="0039032F"/>
    <w:rsid w:val="00390FF3"/>
    <w:rsid w:val="003960AB"/>
    <w:rsid w:val="003A5BBD"/>
    <w:rsid w:val="003B4132"/>
    <w:rsid w:val="003D542F"/>
    <w:rsid w:val="003D6039"/>
    <w:rsid w:val="003E1107"/>
    <w:rsid w:val="003E5CE9"/>
    <w:rsid w:val="003F1641"/>
    <w:rsid w:val="003F2BC2"/>
    <w:rsid w:val="003F6A59"/>
    <w:rsid w:val="00410E81"/>
    <w:rsid w:val="00415964"/>
    <w:rsid w:val="004238A8"/>
    <w:rsid w:val="00432AF7"/>
    <w:rsid w:val="00437F77"/>
    <w:rsid w:val="00440B0F"/>
    <w:rsid w:val="00443B47"/>
    <w:rsid w:val="0044455D"/>
    <w:rsid w:val="00444DD4"/>
    <w:rsid w:val="0045138B"/>
    <w:rsid w:val="00451EC5"/>
    <w:rsid w:val="00452D89"/>
    <w:rsid w:val="00464B5A"/>
    <w:rsid w:val="00476932"/>
    <w:rsid w:val="00487320"/>
    <w:rsid w:val="004A1FAE"/>
    <w:rsid w:val="004A4C83"/>
    <w:rsid w:val="004B0D42"/>
    <w:rsid w:val="004B382F"/>
    <w:rsid w:val="004C73E5"/>
    <w:rsid w:val="004D7AA9"/>
    <w:rsid w:val="004D7ED8"/>
    <w:rsid w:val="004E0B2F"/>
    <w:rsid w:val="004E2E86"/>
    <w:rsid w:val="004E744D"/>
    <w:rsid w:val="004F00CA"/>
    <w:rsid w:val="00506BC7"/>
    <w:rsid w:val="00507EAB"/>
    <w:rsid w:val="00510F05"/>
    <w:rsid w:val="00511D9E"/>
    <w:rsid w:val="00515551"/>
    <w:rsid w:val="00515564"/>
    <w:rsid w:val="005203F0"/>
    <w:rsid w:val="005254DA"/>
    <w:rsid w:val="00531271"/>
    <w:rsid w:val="005362CD"/>
    <w:rsid w:val="00537192"/>
    <w:rsid w:val="00544569"/>
    <w:rsid w:val="00550AA8"/>
    <w:rsid w:val="00551D64"/>
    <w:rsid w:val="00551FA0"/>
    <w:rsid w:val="0055568A"/>
    <w:rsid w:val="005573E8"/>
    <w:rsid w:val="00566D35"/>
    <w:rsid w:val="00566FA7"/>
    <w:rsid w:val="00581ECA"/>
    <w:rsid w:val="00584131"/>
    <w:rsid w:val="00591312"/>
    <w:rsid w:val="00592BCF"/>
    <w:rsid w:val="00593388"/>
    <w:rsid w:val="005A2D53"/>
    <w:rsid w:val="005A41E8"/>
    <w:rsid w:val="005A5AAF"/>
    <w:rsid w:val="005B41A3"/>
    <w:rsid w:val="005B4A5F"/>
    <w:rsid w:val="005C46C9"/>
    <w:rsid w:val="005C57BD"/>
    <w:rsid w:val="005D2366"/>
    <w:rsid w:val="005D40AA"/>
    <w:rsid w:val="005E34C3"/>
    <w:rsid w:val="005F08F2"/>
    <w:rsid w:val="005F39DC"/>
    <w:rsid w:val="0061268A"/>
    <w:rsid w:val="00614ACF"/>
    <w:rsid w:val="006169CA"/>
    <w:rsid w:val="00616BEB"/>
    <w:rsid w:val="0062446F"/>
    <w:rsid w:val="0062613C"/>
    <w:rsid w:val="0063247F"/>
    <w:rsid w:val="00634864"/>
    <w:rsid w:val="0064408A"/>
    <w:rsid w:val="00647EB0"/>
    <w:rsid w:val="00657DB5"/>
    <w:rsid w:val="006761DD"/>
    <w:rsid w:val="00680F1B"/>
    <w:rsid w:val="00685150"/>
    <w:rsid w:val="00686661"/>
    <w:rsid w:val="00691D65"/>
    <w:rsid w:val="00695EE8"/>
    <w:rsid w:val="006B1263"/>
    <w:rsid w:val="006B441A"/>
    <w:rsid w:val="006C2E33"/>
    <w:rsid w:val="006C72E6"/>
    <w:rsid w:val="006D34A4"/>
    <w:rsid w:val="006D3609"/>
    <w:rsid w:val="006E7F09"/>
    <w:rsid w:val="00702352"/>
    <w:rsid w:val="0070702C"/>
    <w:rsid w:val="007078C3"/>
    <w:rsid w:val="00723FD0"/>
    <w:rsid w:val="00731444"/>
    <w:rsid w:val="007318A9"/>
    <w:rsid w:val="00744288"/>
    <w:rsid w:val="00752763"/>
    <w:rsid w:val="00762AFE"/>
    <w:rsid w:val="00763CAF"/>
    <w:rsid w:val="00765164"/>
    <w:rsid w:val="00772470"/>
    <w:rsid w:val="00772A70"/>
    <w:rsid w:val="00787310"/>
    <w:rsid w:val="0079078B"/>
    <w:rsid w:val="00794DDA"/>
    <w:rsid w:val="007A09C7"/>
    <w:rsid w:val="007B0A7B"/>
    <w:rsid w:val="007B6DBE"/>
    <w:rsid w:val="007C1186"/>
    <w:rsid w:val="007C1C3F"/>
    <w:rsid w:val="007C6285"/>
    <w:rsid w:val="007D1FDF"/>
    <w:rsid w:val="007D7EDE"/>
    <w:rsid w:val="007E0668"/>
    <w:rsid w:val="007E1EB7"/>
    <w:rsid w:val="007F44C2"/>
    <w:rsid w:val="008012B1"/>
    <w:rsid w:val="00802893"/>
    <w:rsid w:val="008322BF"/>
    <w:rsid w:val="008378FF"/>
    <w:rsid w:val="00846060"/>
    <w:rsid w:val="00851B24"/>
    <w:rsid w:val="00854DCE"/>
    <w:rsid w:val="00860479"/>
    <w:rsid w:val="00860979"/>
    <w:rsid w:val="00862EE9"/>
    <w:rsid w:val="00866EB2"/>
    <w:rsid w:val="008677C3"/>
    <w:rsid w:val="0088492C"/>
    <w:rsid w:val="008B0B4C"/>
    <w:rsid w:val="008B63E0"/>
    <w:rsid w:val="008C2F6B"/>
    <w:rsid w:val="008C4D62"/>
    <w:rsid w:val="008C7322"/>
    <w:rsid w:val="008F48D5"/>
    <w:rsid w:val="00904E70"/>
    <w:rsid w:val="009061E6"/>
    <w:rsid w:val="00913DA4"/>
    <w:rsid w:val="00921B7C"/>
    <w:rsid w:val="00943377"/>
    <w:rsid w:val="0094433A"/>
    <w:rsid w:val="00945F9D"/>
    <w:rsid w:val="009565E1"/>
    <w:rsid w:val="009735FB"/>
    <w:rsid w:val="00976435"/>
    <w:rsid w:val="00977CEE"/>
    <w:rsid w:val="0098040B"/>
    <w:rsid w:val="0099673E"/>
    <w:rsid w:val="009A58C6"/>
    <w:rsid w:val="009B1C78"/>
    <w:rsid w:val="009C312D"/>
    <w:rsid w:val="009C5309"/>
    <w:rsid w:val="009D0ADB"/>
    <w:rsid w:val="009D1771"/>
    <w:rsid w:val="009D79FA"/>
    <w:rsid w:val="009F2767"/>
    <w:rsid w:val="009F65A2"/>
    <w:rsid w:val="00A010BF"/>
    <w:rsid w:val="00A03B45"/>
    <w:rsid w:val="00A11F41"/>
    <w:rsid w:val="00A206D6"/>
    <w:rsid w:val="00A3246E"/>
    <w:rsid w:val="00A42519"/>
    <w:rsid w:val="00A60099"/>
    <w:rsid w:val="00A71E99"/>
    <w:rsid w:val="00A73A38"/>
    <w:rsid w:val="00A81BA5"/>
    <w:rsid w:val="00AA73D5"/>
    <w:rsid w:val="00AA7C49"/>
    <w:rsid w:val="00AB1BBA"/>
    <w:rsid w:val="00AC6160"/>
    <w:rsid w:val="00AD16E1"/>
    <w:rsid w:val="00AE0ABA"/>
    <w:rsid w:val="00AE1616"/>
    <w:rsid w:val="00AE39C5"/>
    <w:rsid w:val="00AE467F"/>
    <w:rsid w:val="00AE602A"/>
    <w:rsid w:val="00AF18FE"/>
    <w:rsid w:val="00AF6654"/>
    <w:rsid w:val="00B27CAB"/>
    <w:rsid w:val="00B3054F"/>
    <w:rsid w:val="00B32211"/>
    <w:rsid w:val="00B33D02"/>
    <w:rsid w:val="00B43186"/>
    <w:rsid w:val="00B44966"/>
    <w:rsid w:val="00B45E13"/>
    <w:rsid w:val="00B47C18"/>
    <w:rsid w:val="00B51FB2"/>
    <w:rsid w:val="00B529FB"/>
    <w:rsid w:val="00B547C7"/>
    <w:rsid w:val="00B571D9"/>
    <w:rsid w:val="00B769F6"/>
    <w:rsid w:val="00B817DC"/>
    <w:rsid w:val="00BA390A"/>
    <w:rsid w:val="00BB1812"/>
    <w:rsid w:val="00BB5296"/>
    <w:rsid w:val="00BC12BB"/>
    <w:rsid w:val="00BC304F"/>
    <w:rsid w:val="00BC569E"/>
    <w:rsid w:val="00BD14A5"/>
    <w:rsid w:val="00BD5BDE"/>
    <w:rsid w:val="00BD605F"/>
    <w:rsid w:val="00BE35F1"/>
    <w:rsid w:val="00BE6C8B"/>
    <w:rsid w:val="00BF0E06"/>
    <w:rsid w:val="00BF539B"/>
    <w:rsid w:val="00C035FD"/>
    <w:rsid w:val="00C03A9D"/>
    <w:rsid w:val="00C06F7B"/>
    <w:rsid w:val="00C15F19"/>
    <w:rsid w:val="00C16669"/>
    <w:rsid w:val="00C216B1"/>
    <w:rsid w:val="00C30013"/>
    <w:rsid w:val="00C3062E"/>
    <w:rsid w:val="00C36288"/>
    <w:rsid w:val="00C41295"/>
    <w:rsid w:val="00C435F6"/>
    <w:rsid w:val="00C457CB"/>
    <w:rsid w:val="00C47960"/>
    <w:rsid w:val="00C50A80"/>
    <w:rsid w:val="00C56154"/>
    <w:rsid w:val="00C5755C"/>
    <w:rsid w:val="00C630AA"/>
    <w:rsid w:val="00C71E12"/>
    <w:rsid w:val="00C72DFE"/>
    <w:rsid w:val="00C75424"/>
    <w:rsid w:val="00C8035C"/>
    <w:rsid w:val="00C81187"/>
    <w:rsid w:val="00C83996"/>
    <w:rsid w:val="00C86162"/>
    <w:rsid w:val="00CA3805"/>
    <w:rsid w:val="00CA3D7B"/>
    <w:rsid w:val="00CA3F0B"/>
    <w:rsid w:val="00CA645A"/>
    <w:rsid w:val="00CC0323"/>
    <w:rsid w:val="00CC5969"/>
    <w:rsid w:val="00CC7BBA"/>
    <w:rsid w:val="00CD14C8"/>
    <w:rsid w:val="00CD6F0C"/>
    <w:rsid w:val="00CE3C13"/>
    <w:rsid w:val="00CE5643"/>
    <w:rsid w:val="00CE67D9"/>
    <w:rsid w:val="00CF1E79"/>
    <w:rsid w:val="00D27E00"/>
    <w:rsid w:val="00D339DF"/>
    <w:rsid w:val="00D35C56"/>
    <w:rsid w:val="00D36F05"/>
    <w:rsid w:val="00D41AE6"/>
    <w:rsid w:val="00D41DD6"/>
    <w:rsid w:val="00D4238A"/>
    <w:rsid w:val="00D536DE"/>
    <w:rsid w:val="00D558CE"/>
    <w:rsid w:val="00D5732D"/>
    <w:rsid w:val="00D6138E"/>
    <w:rsid w:val="00D63C03"/>
    <w:rsid w:val="00D77332"/>
    <w:rsid w:val="00D828BB"/>
    <w:rsid w:val="00D84DEF"/>
    <w:rsid w:val="00D850AB"/>
    <w:rsid w:val="00D854BA"/>
    <w:rsid w:val="00D9272D"/>
    <w:rsid w:val="00D960AC"/>
    <w:rsid w:val="00DA1E2A"/>
    <w:rsid w:val="00DC02EA"/>
    <w:rsid w:val="00DC3B98"/>
    <w:rsid w:val="00DC52C1"/>
    <w:rsid w:val="00DC7D84"/>
    <w:rsid w:val="00DD0FE9"/>
    <w:rsid w:val="00DD2624"/>
    <w:rsid w:val="00DD54C0"/>
    <w:rsid w:val="00DD744C"/>
    <w:rsid w:val="00DE08E4"/>
    <w:rsid w:val="00DE1E42"/>
    <w:rsid w:val="00DE4CBD"/>
    <w:rsid w:val="00DF730A"/>
    <w:rsid w:val="00E05F1B"/>
    <w:rsid w:val="00E178E7"/>
    <w:rsid w:val="00E25A1D"/>
    <w:rsid w:val="00E40548"/>
    <w:rsid w:val="00E40F87"/>
    <w:rsid w:val="00E41988"/>
    <w:rsid w:val="00E43143"/>
    <w:rsid w:val="00E45DE4"/>
    <w:rsid w:val="00E62A67"/>
    <w:rsid w:val="00E661C3"/>
    <w:rsid w:val="00E67F4A"/>
    <w:rsid w:val="00E8300C"/>
    <w:rsid w:val="00E90F59"/>
    <w:rsid w:val="00E92DF7"/>
    <w:rsid w:val="00E948D7"/>
    <w:rsid w:val="00EA0927"/>
    <w:rsid w:val="00EB78AB"/>
    <w:rsid w:val="00EC76BB"/>
    <w:rsid w:val="00ED4E08"/>
    <w:rsid w:val="00EF3965"/>
    <w:rsid w:val="00F02B34"/>
    <w:rsid w:val="00F05B6C"/>
    <w:rsid w:val="00F0687D"/>
    <w:rsid w:val="00F0690B"/>
    <w:rsid w:val="00F112DA"/>
    <w:rsid w:val="00F1417F"/>
    <w:rsid w:val="00F2103D"/>
    <w:rsid w:val="00F2321F"/>
    <w:rsid w:val="00F27F6E"/>
    <w:rsid w:val="00F30E2D"/>
    <w:rsid w:val="00F4013F"/>
    <w:rsid w:val="00F4067F"/>
    <w:rsid w:val="00F424B4"/>
    <w:rsid w:val="00F47C50"/>
    <w:rsid w:val="00F66156"/>
    <w:rsid w:val="00F676FE"/>
    <w:rsid w:val="00F86040"/>
    <w:rsid w:val="00F90240"/>
    <w:rsid w:val="00F903FF"/>
    <w:rsid w:val="00F94540"/>
    <w:rsid w:val="00FA0072"/>
    <w:rsid w:val="00FA25A0"/>
    <w:rsid w:val="00FA3574"/>
    <w:rsid w:val="00FA4173"/>
    <w:rsid w:val="00FB4FF7"/>
    <w:rsid w:val="00FC0E37"/>
    <w:rsid w:val="00FC3E82"/>
    <w:rsid w:val="00FD3E88"/>
    <w:rsid w:val="00FE1513"/>
    <w:rsid w:val="00FE396D"/>
    <w:rsid w:val="01354C81"/>
    <w:rsid w:val="01632F44"/>
    <w:rsid w:val="016D0D42"/>
    <w:rsid w:val="01C872E5"/>
    <w:rsid w:val="01E72148"/>
    <w:rsid w:val="029B6CDC"/>
    <w:rsid w:val="02BF7FBC"/>
    <w:rsid w:val="02DA04C9"/>
    <w:rsid w:val="02E472F0"/>
    <w:rsid w:val="02E80AFB"/>
    <w:rsid w:val="02FB62A6"/>
    <w:rsid w:val="030A5020"/>
    <w:rsid w:val="0342249A"/>
    <w:rsid w:val="03447F0B"/>
    <w:rsid w:val="035F1406"/>
    <w:rsid w:val="03CE6123"/>
    <w:rsid w:val="03F01D40"/>
    <w:rsid w:val="04355789"/>
    <w:rsid w:val="04587071"/>
    <w:rsid w:val="0475408C"/>
    <w:rsid w:val="04781B00"/>
    <w:rsid w:val="04A42800"/>
    <w:rsid w:val="04B93B18"/>
    <w:rsid w:val="04C7688F"/>
    <w:rsid w:val="057D61D6"/>
    <w:rsid w:val="059119BE"/>
    <w:rsid w:val="06475B39"/>
    <w:rsid w:val="064E08C5"/>
    <w:rsid w:val="067526A6"/>
    <w:rsid w:val="06D23851"/>
    <w:rsid w:val="06DE23D4"/>
    <w:rsid w:val="06E85355"/>
    <w:rsid w:val="06F421CB"/>
    <w:rsid w:val="070D50F9"/>
    <w:rsid w:val="071B2369"/>
    <w:rsid w:val="073E3C53"/>
    <w:rsid w:val="07827CB1"/>
    <w:rsid w:val="07AF31B5"/>
    <w:rsid w:val="07BE3DA9"/>
    <w:rsid w:val="07E32463"/>
    <w:rsid w:val="080D3EE8"/>
    <w:rsid w:val="083266CA"/>
    <w:rsid w:val="08736678"/>
    <w:rsid w:val="08736EB4"/>
    <w:rsid w:val="08784FDD"/>
    <w:rsid w:val="088F217E"/>
    <w:rsid w:val="08997E82"/>
    <w:rsid w:val="08A04683"/>
    <w:rsid w:val="08FE6611"/>
    <w:rsid w:val="096400C2"/>
    <w:rsid w:val="097843ED"/>
    <w:rsid w:val="09B61F33"/>
    <w:rsid w:val="0A894204"/>
    <w:rsid w:val="0AB019D9"/>
    <w:rsid w:val="0AD775AC"/>
    <w:rsid w:val="0ADD14FB"/>
    <w:rsid w:val="0BA1028B"/>
    <w:rsid w:val="0BB5088F"/>
    <w:rsid w:val="0BE6F512"/>
    <w:rsid w:val="0BF24BDF"/>
    <w:rsid w:val="0BF41E3F"/>
    <w:rsid w:val="0C242CDC"/>
    <w:rsid w:val="0C26419C"/>
    <w:rsid w:val="0C4A3167"/>
    <w:rsid w:val="0C7932B7"/>
    <w:rsid w:val="0C8D1FC9"/>
    <w:rsid w:val="0CB21E82"/>
    <w:rsid w:val="0CCE220C"/>
    <w:rsid w:val="0D1B3D49"/>
    <w:rsid w:val="0D430124"/>
    <w:rsid w:val="0D6D2708"/>
    <w:rsid w:val="0D910AF3"/>
    <w:rsid w:val="0DB502AD"/>
    <w:rsid w:val="0E120FEC"/>
    <w:rsid w:val="0E142E14"/>
    <w:rsid w:val="0E6F4733"/>
    <w:rsid w:val="0E8E6E88"/>
    <w:rsid w:val="0EA224A2"/>
    <w:rsid w:val="0EC84B01"/>
    <w:rsid w:val="0F0B6F66"/>
    <w:rsid w:val="0F2C202C"/>
    <w:rsid w:val="0F3334EC"/>
    <w:rsid w:val="0F41543A"/>
    <w:rsid w:val="0F4E4CC9"/>
    <w:rsid w:val="0F4F57FE"/>
    <w:rsid w:val="0F5653CD"/>
    <w:rsid w:val="0F793F22"/>
    <w:rsid w:val="0FA63513"/>
    <w:rsid w:val="0FA77C86"/>
    <w:rsid w:val="0FCE7CD5"/>
    <w:rsid w:val="0FE947D3"/>
    <w:rsid w:val="0FFAA31A"/>
    <w:rsid w:val="102C0D70"/>
    <w:rsid w:val="107A66DD"/>
    <w:rsid w:val="10C316A6"/>
    <w:rsid w:val="10EC36D4"/>
    <w:rsid w:val="113B220D"/>
    <w:rsid w:val="118E3097"/>
    <w:rsid w:val="119A5202"/>
    <w:rsid w:val="11A55542"/>
    <w:rsid w:val="11AE597C"/>
    <w:rsid w:val="11F76A38"/>
    <w:rsid w:val="120E0CEC"/>
    <w:rsid w:val="12184057"/>
    <w:rsid w:val="12262BA2"/>
    <w:rsid w:val="123253E8"/>
    <w:rsid w:val="125A0526"/>
    <w:rsid w:val="127C4C42"/>
    <w:rsid w:val="12B64336"/>
    <w:rsid w:val="132D675B"/>
    <w:rsid w:val="13545556"/>
    <w:rsid w:val="1378324E"/>
    <w:rsid w:val="13847ED4"/>
    <w:rsid w:val="139F3AAD"/>
    <w:rsid w:val="13A36D90"/>
    <w:rsid w:val="13E23F33"/>
    <w:rsid w:val="14622E4E"/>
    <w:rsid w:val="1484465E"/>
    <w:rsid w:val="14990D78"/>
    <w:rsid w:val="151614F8"/>
    <w:rsid w:val="151A3BF4"/>
    <w:rsid w:val="15595889"/>
    <w:rsid w:val="15651A2B"/>
    <w:rsid w:val="157A3A66"/>
    <w:rsid w:val="15A754B9"/>
    <w:rsid w:val="15AE531B"/>
    <w:rsid w:val="162505A9"/>
    <w:rsid w:val="16461969"/>
    <w:rsid w:val="165C0A4B"/>
    <w:rsid w:val="16620330"/>
    <w:rsid w:val="166D771C"/>
    <w:rsid w:val="167434D9"/>
    <w:rsid w:val="16851454"/>
    <w:rsid w:val="16D118DF"/>
    <w:rsid w:val="16E543E7"/>
    <w:rsid w:val="17012091"/>
    <w:rsid w:val="171E3A61"/>
    <w:rsid w:val="17397FAC"/>
    <w:rsid w:val="17755D91"/>
    <w:rsid w:val="17C60003"/>
    <w:rsid w:val="181042E7"/>
    <w:rsid w:val="18571E0E"/>
    <w:rsid w:val="18CA2AC8"/>
    <w:rsid w:val="18D56AED"/>
    <w:rsid w:val="18E048E5"/>
    <w:rsid w:val="19287A4C"/>
    <w:rsid w:val="19393A07"/>
    <w:rsid w:val="193946CD"/>
    <w:rsid w:val="19546D29"/>
    <w:rsid w:val="19582C19"/>
    <w:rsid w:val="196C1720"/>
    <w:rsid w:val="198446DC"/>
    <w:rsid w:val="19C229D7"/>
    <w:rsid w:val="19EA6AAF"/>
    <w:rsid w:val="1A2507DD"/>
    <w:rsid w:val="1A604125"/>
    <w:rsid w:val="1A697594"/>
    <w:rsid w:val="1A936682"/>
    <w:rsid w:val="1B04518D"/>
    <w:rsid w:val="1B134D8F"/>
    <w:rsid w:val="1B165FD3"/>
    <w:rsid w:val="1B3470A4"/>
    <w:rsid w:val="1B3F0E61"/>
    <w:rsid w:val="1B413BFB"/>
    <w:rsid w:val="1B533D2D"/>
    <w:rsid w:val="1B7BAC7B"/>
    <w:rsid w:val="1BBB516C"/>
    <w:rsid w:val="1BF9EAD7"/>
    <w:rsid w:val="1BFFAB3B"/>
    <w:rsid w:val="1C2E4966"/>
    <w:rsid w:val="1C315387"/>
    <w:rsid w:val="1CCA2641"/>
    <w:rsid w:val="1CF25FEE"/>
    <w:rsid w:val="1CFD848A"/>
    <w:rsid w:val="1CFF795F"/>
    <w:rsid w:val="1D0D69DD"/>
    <w:rsid w:val="1D130AC5"/>
    <w:rsid w:val="1D1E77F8"/>
    <w:rsid w:val="1D7F0B58"/>
    <w:rsid w:val="1D941B12"/>
    <w:rsid w:val="1DC3642B"/>
    <w:rsid w:val="1DCB67A2"/>
    <w:rsid w:val="1E384C45"/>
    <w:rsid w:val="1E56710E"/>
    <w:rsid w:val="1E6B3F9A"/>
    <w:rsid w:val="1E732C0C"/>
    <w:rsid w:val="1EA32E44"/>
    <w:rsid w:val="1EEF2BBD"/>
    <w:rsid w:val="1EF27E42"/>
    <w:rsid w:val="1EFE5E3B"/>
    <w:rsid w:val="1F0C1F0E"/>
    <w:rsid w:val="1F1D2C28"/>
    <w:rsid w:val="1F3E77EC"/>
    <w:rsid w:val="1F505606"/>
    <w:rsid w:val="1F6E53DE"/>
    <w:rsid w:val="1F846A41"/>
    <w:rsid w:val="1FA22279"/>
    <w:rsid w:val="1FA53B84"/>
    <w:rsid w:val="1FA6AFA5"/>
    <w:rsid w:val="1FCE269C"/>
    <w:rsid w:val="1FF3CE93"/>
    <w:rsid w:val="200D7802"/>
    <w:rsid w:val="204C04C4"/>
    <w:rsid w:val="207D0848"/>
    <w:rsid w:val="208070AE"/>
    <w:rsid w:val="20983709"/>
    <w:rsid w:val="20A552ED"/>
    <w:rsid w:val="212D1682"/>
    <w:rsid w:val="21446AAF"/>
    <w:rsid w:val="21997A25"/>
    <w:rsid w:val="21B21E22"/>
    <w:rsid w:val="21DC4EBF"/>
    <w:rsid w:val="21F62822"/>
    <w:rsid w:val="22104932"/>
    <w:rsid w:val="225C2CA5"/>
    <w:rsid w:val="227D70DD"/>
    <w:rsid w:val="22AC5019"/>
    <w:rsid w:val="22E744D4"/>
    <w:rsid w:val="22EB1DBF"/>
    <w:rsid w:val="2318643B"/>
    <w:rsid w:val="233B1B9E"/>
    <w:rsid w:val="235D3D10"/>
    <w:rsid w:val="235F406A"/>
    <w:rsid w:val="23C07E48"/>
    <w:rsid w:val="23DA7B95"/>
    <w:rsid w:val="24414A2E"/>
    <w:rsid w:val="24802BBA"/>
    <w:rsid w:val="24A03363"/>
    <w:rsid w:val="24AC2084"/>
    <w:rsid w:val="252861AB"/>
    <w:rsid w:val="25BC6951"/>
    <w:rsid w:val="25DE4318"/>
    <w:rsid w:val="25E82205"/>
    <w:rsid w:val="25FF1B34"/>
    <w:rsid w:val="262D756B"/>
    <w:rsid w:val="26390487"/>
    <w:rsid w:val="265E1D63"/>
    <w:rsid w:val="266748F5"/>
    <w:rsid w:val="267D393C"/>
    <w:rsid w:val="268362C1"/>
    <w:rsid w:val="26920D6D"/>
    <w:rsid w:val="26AA7D7C"/>
    <w:rsid w:val="26DF610C"/>
    <w:rsid w:val="26E02025"/>
    <w:rsid w:val="26E3377A"/>
    <w:rsid w:val="26FB39C4"/>
    <w:rsid w:val="2710398E"/>
    <w:rsid w:val="27BA7FC0"/>
    <w:rsid w:val="27EE683F"/>
    <w:rsid w:val="28123FDA"/>
    <w:rsid w:val="28203421"/>
    <w:rsid w:val="282A2D36"/>
    <w:rsid w:val="283E0F06"/>
    <w:rsid w:val="284759D2"/>
    <w:rsid w:val="28AA791F"/>
    <w:rsid w:val="28DB7A46"/>
    <w:rsid w:val="28E80697"/>
    <w:rsid w:val="29012192"/>
    <w:rsid w:val="293D379C"/>
    <w:rsid w:val="294D5C06"/>
    <w:rsid w:val="296F8532"/>
    <w:rsid w:val="298360A3"/>
    <w:rsid w:val="29857993"/>
    <w:rsid w:val="29A671D2"/>
    <w:rsid w:val="29B644B4"/>
    <w:rsid w:val="29D5273D"/>
    <w:rsid w:val="29E208A7"/>
    <w:rsid w:val="29ECF52B"/>
    <w:rsid w:val="29EF47C0"/>
    <w:rsid w:val="2A023E12"/>
    <w:rsid w:val="2A0504F1"/>
    <w:rsid w:val="2A067935"/>
    <w:rsid w:val="2A463300"/>
    <w:rsid w:val="2A4B19FA"/>
    <w:rsid w:val="2A7F3244"/>
    <w:rsid w:val="2AB843B2"/>
    <w:rsid w:val="2AB96529"/>
    <w:rsid w:val="2AC33130"/>
    <w:rsid w:val="2AC62C21"/>
    <w:rsid w:val="2AD2781A"/>
    <w:rsid w:val="2AE84450"/>
    <w:rsid w:val="2B395AE8"/>
    <w:rsid w:val="2B3B6939"/>
    <w:rsid w:val="2B3C5D80"/>
    <w:rsid w:val="2B522DE2"/>
    <w:rsid w:val="2B6C7935"/>
    <w:rsid w:val="2B7462A4"/>
    <w:rsid w:val="2BA8232C"/>
    <w:rsid w:val="2BAE55C8"/>
    <w:rsid w:val="2BEF45B9"/>
    <w:rsid w:val="2C0A37C2"/>
    <w:rsid w:val="2C12637B"/>
    <w:rsid w:val="2C2C723F"/>
    <w:rsid w:val="2C54143E"/>
    <w:rsid w:val="2C5E1024"/>
    <w:rsid w:val="2CD31625"/>
    <w:rsid w:val="2CFC0B7C"/>
    <w:rsid w:val="2D1618F3"/>
    <w:rsid w:val="2D1C0183"/>
    <w:rsid w:val="2D352E6C"/>
    <w:rsid w:val="2D45718D"/>
    <w:rsid w:val="2D6618D7"/>
    <w:rsid w:val="2D6D1242"/>
    <w:rsid w:val="2D7361BF"/>
    <w:rsid w:val="2D835359"/>
    <w:rsid w:val="2D9B4686"/>
    <w:rsid w:val="2D9D81A3"/>
    <w:rsid w:val="2D9E04E6"/>
    <w:rsid w:val="2DA77211"/>
    <w:rsid w:val="2DAFB016"/>
    <w:rsid w:val="2DD9AEED"/>
    <w:rsid w:val="2DDCE08E"/>
    <w:rsid w:val="2DE852AB"/>
    <w:rsid w:val="2DF83A39"/>
    <w:rsid w:val="2DFBDC6F"/>
    <w:rsid w:val="2E066270"/>
    <w:rsid w:val="2E452C51"/>
    <w:rsid w:val="2E52101B"/>
    <w:rsid w:val="2EBA2A9C"/>
    <w:rsid w:val="2EEE5325"/>
    <w:rsid w:val="2F576F9E"/>
    <w:rsid w:val="2F5D1C06"/>
    <w:rsid w:val="2F7F079C"/>
    <w:rsid w:val="2F951675"/>
    <w:rsid w:val="2F967065"/>
    <w:rsid w:val="2FD951A4"/>
    <w:rsid w:val="2FDF2081"/>
    <w:rsid w:val="2FEFF5C8"/>
    <w:rsid w:val="2FF7A4B2"/>
    <w:rsid w:val="2FFBEB71"/>
    <w:rsid w:val="2FFF0876"/>
    <w:rsid w:val="305B7FDF"/>
    <w:rsid w:val="307526C4"/>
    <w:rsid w:val="308551D3"/>
    <w:rsid w:val="30B8125D"/>
    <w:rsid w:val="30B97179"/>
    <w:rsid w:val="30C714A1"/>
    <w:rsid w:val="30DA6E52"/>
    <w:rsid w:val="30ED4CB4"/>
    <w:rsid w:val="30EE2C0A"/>
    <w:rsid w:val="31184E4B"/>
    <w:rsid w:val="31434BE6"/>
    <w:rsid w:val="3178115F"/>
    <w:rsid w:val="31EB503D"/>
    <w:rsid w:val="320867D5"/>
    <w:rsid w:val="322A479C"/>
    <w:rsid w:val="327456E7"/>
    <w:rsid w:val="32781DCF"/>
    <w:rsid w:val="32A63D5B"/>
    <w:rsid w:val="32FF3F14"/>
    <w:rsid w:val="3307517A"/>
    <w:rsid w:val="331C1508"/>
    <w:rsid w:val="33393492"/>
    <w:rsid w:val="333F1F79"/>
    <w:rsid w:val="337764E5"/>
    <w:rsid w:val="3394378E"/>
    <w:rsid w:val="347A11FE"/>
    <w:rsid w:val="35442C49"/>
    <w:rsid w:val="354F148D"/>
    <w:rsid w:val="35503633"/>
    <w:rsid w:val="35523A2F"/>
    <w:rsid w:val="35702A72"/>
    <w:rsid w:val="35722008"/>
    <w:rsid w:val="35A818A1"/>
    <w:rsid w:val="35F77FCF"/>
    <w:rsid w:val="360D5B81"/>
    <w:rsid w:val="3616123F"/>
    <w:rsid w:val="363422CF"/>
    <w:rsid w:val="367A6FE2"/>
    <w:rsid w:val="369664CE"/>
    <w:rsid w:val="36A209E6"/>
    <w:rsid w:val="36B10CCA"/>
    <w:rsid w:val="36CC02E8"/>
    <w:rsid w:val="36E103B8"/>
    <w:rsid w:val="36F55B8A"/>
    <w:rsid w:val="37085176"/>
    <w:rsid w:val="370D6A7F"/>
    <w:rsid w:val="37173543"/>
    <w:rsid w:val="37210348"/>
    <w:rsid w:val="372463D9"/>
    <w:rsid w:val="37775B0C"/>
    <w:rsid w:val="377F0434"/>
    <w:rsid w:val="37901CE1"/>
    <w:rsid w:val="37A442EA"/>
    <w:rsid w:val="37CE7FE9"/>
    <w:rsid w:val="37E07E21"/>
    <w:rsid w:val="37E55B47"/>
    <w:rsid w:val="37EC0596"/>
    <w:rsid w:val="37FC8C85"/>
    <w:rsid w:val="3805726B"/>
    <w:rsid w:val="380642AE"/>
    <w:rsid w:val="38150734"/>
    <w:rsid w:val="38161770"/>
    <w:rsid w:val="383D5364"/>
    <w:rsid w:val="384308EB"/>
    <w:rsid w:val="38CD563D"/>
    <w:rsid w:val="393B5858"/>
    <w:rsid w:val="395849AE"/>
    <w:rsid w:val="395F1B58"/>
    <w:rsid w:val="39CE03FA"/>
    <w:rsid w:val="39D24A3A"/>
    <w:rsid w:val="39FFE482"/>
    <w:rsid w:val="3A0C1E8F"/>
    <w:rsid w:val="3A0C2D30"/>
    <w:rsid w:val="3A0D43C8"/>
    <w:rsid w:val="3A1A6FAF"/>
    <w:rsid w:val="3A460B03"/>
    <w:rsid w:val="3A7F6400"/>
    <w:rsid w:val="3AC86541"/>
    <w:rsid w:val="3AF215A9"/>
    <w:rsid w:val="3AF43DC6"/>
    <w:rsid w:val="3B557DB9"/>
    <w:rsid w:val="3B5A5CC2"/>
    <w:rsid w:val="3BA45C41"/>
    <w:rsid w:val="3BAB034C"/>
    <w:rsid w:val="3BBEB1CC"/>
    <w:rsid w:val="3BDD426E"/>
    <w:rsid w:val="3BFABD32"/>
    <w:rsid w:val="3C30439E"/>
    <w:rsid w:val="3C3F738A"/>
    <w:rsid w:val="3C6C047F"/>
    <w:rsid w:val="3C7EC172"/>
    <w:rsid w:val="3C93387D"/>
    <w:rsid w:val="3CC77283"/>
    <w:rsid w:val="3D1A6D1F"/>
    <w:rsid w:val="3D342EE9"/>
    <w:rsid w:val="3D935800"/>
    <w:rsid w:val="3DB7F52D"/>
    <w:rsid w:val="3DB95151"/>
    <w:rsid w:val="3DE34BDC"/>
    <w:rsid w:val="3DFF4142"/>
    <w:rsid w:val="3E196591"/>
    <w:rsid w:val="3E5B7C8E"/>
    <w:rsid w:val="3E667A93"/>
    <w:rsid w:val="3E8B229B"/>
    <w:rsid w:val="3EDCCA91"/>
    <w:rsid w:val="3EDD665C"/>
    <w:rsid w:val="3EE8756A"/>
    <w:rsid w:val="3EE91776"/>
    <w:rsid w:val="3EF7B5A1"/>
    <w:rsid w:val="3EFE6774"/>
    <w:rsid w:val="3EFF11EB"/>
    <w:rsid w:val="3EFF3334"/>
    <w:rsid w:val="3EFF6C38"/>
    <w:rsid w:val="3F01789A"/>
    <w:rsid w:val="3F33019B"/>
    <w:rsid w:val="3F7691D3"/>
    <w:rsid w:val="3F7E722E"/>
    <w:rsid w:val="3F9A39D6"/>
    <w:rsid w:val="3FBF9A1C"/>
    <w:rsid w:val="3FDFB76A"/>
    <w:rsid w:val="3FEB54A2"/>
    <w:rsid w:val="3FEB97AC"/>
    <w:rsid w:val="3FF517D6"/>
    <w:rsid w:val="3FF57DD8"/>
    <w:rsid w:val="3FF76880"/>
    <w:rsid w:val="3FF79260"/>
    <w:rsid w:val="3FFDD1D3"/>
    <w:rsid w:val="3FFDEE11"/>
    <w:rsid w:val="3FFFC557"/>
    <w:rsid w:val="401C20DA"/>
    <w:rsid w:val="407C5E04"/>
    <w:rsid w:val="40B75CFB"/>
    <w:rsid w:val="40C90EC3"/>
    <w:rsid w:val="40D92AB3"/>
    <w:rsid w:val="41160A2F"/>
    <w:rsid w:val="411969A8"/>
    <w:rsid w:val="413D3991"/>
    <w:rsid w:val="4155021C"/>
    <w:rsid w:val="41631203"/>
    <w:rsid w:val="41730A3E"/>
    <w:rsid w:val="41A9216B"/>
    <w:rsid w:val="41BF38D3"/>
    <w:rsid w:val="41E71276"/>
    <w:rsid w:val="41FF7236"/>
    <w:rsid w:val="42017C74"/>
    <w:rsid w:val="42580A62"/>
    <w:rsid w:val="42901FA1"/>
    <w:rsid w:val="42AD1653"/>
    <w:rsid w:val="42C770F1"/>
    <w:rsid w:val="42CC2C90"/>
    <w:rsid w:val="42DB1583"/>
    <w:rsid w:val="42FB7E0C"/>
    <w:rsid w:val="43310147"/>
    <w:rsid w:val="436C101C"/>
    <w:rsid w:val="43770E11"/>
    <w:rsid w:val="438126BD"/>
    <w:rsid w:val="43944FDF"/>
    <w:rsid w:val="43A3366A"/>
    <w:rsid w:val="43A86F10"/>
    <w:rsid w:val="43B43EEB"/>
    <w:rsid w:val="43C321DA"/>
    <w:rsid w:val="43F14D5A"/>
    <w:rsid w:val="43FECE20"/>
    <w:rsid w:val="440C56B3"/>
    <w:rsid w:val="443B24BB"/>
    <w:rsid w:val="449567C4"/>
    <w:rsid w:val="44B10EB8"/>
    <w:rsid w:val="44BC1FDE"/>
    <w:rsid w:val="44EB2F6A"/>
    <w:rsid w:val="44FB3748"/>
    <w:rsid w:val="452406C7"/>
    <w:rsid w:val="453A7028"/>
    <w:rsid w:val="45563B41"/>
    <w:rsid w:val="455947D7"/>
    <w:rsid w:val="45BE16E7"/>
    <w:rsid w:val="45C876C6"/>
    <w:rsid w:val="45CC6395"/>
    <w:rsid w:val="46007E61"/>
    <w:rsid w:val="461B4C4B"/>
    <w:rsid w:val="462E79C8"/>
    <w:rsid w:val="46354FBB"/>
    <w:rsid w:val="469F2B73"/>
    <w:rsid w:val="46A736A3"/>
    <w:rsid w:val="46D537C4"/>
    <w:rsid w:val="46F59735"/>
    <w:rsid w:val="472E76DC"/>
    <w:rsid w:val="473D1F8E"/>
    <w:rsid w:val="474DB4B1"/>
    <w:rsid w:val="474E6020"/>
    <w:rsid w:val="478D720A"/>
    <w:rsid w:val="479A385F"/>
    <w:rsid w:val="47A7592F"/>
    <w:rsid w:val="47B53FD0"/>
    <w:rsid w:val="47E177B6"/>
    <w:rsid w:val="47FB62F9"/>
    <w:rsid w:val="4836474E"/>
    <w:rsid w:val="4890453C"/>
    <w:rsid w:val="489226AD"/>
    <w:rsid w:val="492E7EB7"/>
    <w:rsid w:val="492F39AD"/>
    <w:rsid w:val="49302476"/>
    <w:rsid w:val="49311B7C"/>
    <w:rsid w:val="49764E6B"/>
    <w:rsid w:val="498D1BFD"/>
    <w:rsid w:val="498D68FD"/>
    <w:rsid w:val="49DF1A1C"/>
    <w:rsid w:val="49E35145"/>
    <w:rsid w:val="4A365D03"/>
    <w:rsid w:val="4A47358E"/>
    <w:rsid w:val="4A74641B"/>
    <w:rsid w:val="4A8B175C"/>
    <w:rsid w:val="4AB8325C"/>
    <w:rsid w:val="4AD25F9C"/>
    <w:rsid w:val="4AFF4AC7"/>
    <w:rsid w:val="4B077576"/>
    <w:rsid w:val="4B2B41E1"/>
    <w:rsid w:val="4B784964"/>
    <w:rsid w:val="4BFD03F9"/>
    <w:rsid w:val="4C6C0CB5"/>
    <w:rsid w:val="4C742085"/>
    <w:rsid w:val="4C8D1B62"/>
    <w:rsid w:val="4C98286C"/>
    <w:rsid w:val="4CA17FBE"/>
    <w:rsid w:val="4CA71139"/>
    <w:rsid w:val="4CB8400F"/>
    <w:rsid w:val="4CC85AC0"/>
    <w:rsid w:val="4CCF07CB"/>
    <w:rsid w:val="4CE11C77"/>
    <w:rsid w:val="4D1B1236"/>
    <w:rsid w:val="4D7D1CA5"/>
    <w:rsid w:val="4D867CAE"/>
    <w:rsid w:val="4DE43FBB"/>
    <w:rsid w:val="4EBC0B78"/>
    <w:rsid w:val="4EBF176A"/>
    <w:rsid w:val="4ECD0934"/>
    <w:rsid w:val="4ED3B7A3"/>
    <w:rsid w:val="4EDA031A"/>
    <w:rsid w:val="4F166EC3"/>
    <w:rsid w:val="4F2B3761"/>
    <w:rsid w:val="4F3F34E0"/>
    <w:rsid w:val="4F454669"/>
    <w:rsid w:val="4F493C9D"/>
    <w:rsid w:val="4F5379B5"/>
    <w:rsid w:val="4F636330"/>
    <w:rsid w:val="4F8D41E4"/>
    <w:rsid w:val="4F9C19A5"/>
    <w:rsid w:val="4FA7451F"/>
    <w:rsid w:val="4FAD1433"/>
    <w:rsid w:val="4FAE08F8"/>
    <w:rsid w:val="4FB7C418"/>
    <w:rsid w:val="4FBB4D9F"/>
    <w:rsid w:val="4FBD3273"/>
    <w:rsid w:val="4FBF7ABB"/>
    <w:rsid w:val="4FE8384C"/>
    <w:rsid w:val="4FF999E5"/>
    <w:rsid w:val="50911215"/>
    <w:rsid w:val="50AD35D6"/>
    <w:rsid w:val="50BF233F"/>
    <w:rsid w:val="50E05E5D"/>
    <w:rsid w:val="50F1725A"/>
    <w:rsid w:val="50FF2624"/>
    <w:rsid w:val="511F7C30"/>
    <w:rsid w:val="512575FF"/>
    <w:rsid w:val="51347FD9"/>
    <w:rsid w:val="51370B7E"/>
    <w:rsid w:val="51416BBB"/>
    <w:rsid w:val="515521BE"/>
    <w:rsid w:val="515E0E54"/>
    <w:rsid w:val="51732A58"/>
    <w:rsid w:val="517E43D9"/>
    <w:rsid w:val="519304EB"/>
    <w:rsid w:val="51CB2747"/>
    <w:rsid w:val="51F7B0F2"/>
    <w:rsid w:val="51F900B7"/>
    <w:rsid w:val="52100918"/>
    <w:rsid w:val="5217598C"/>
    <w:rsid w:val="52491E25"/>
    <w:rsid w:val="527F5080"/>
    <w:rsid w:val="52805639"/>
    <w:rsid w:val="52D23AAC"/>
    <w:rsid w:val="53000B16"/>
    <w:rsid w:val="5308359C"/>
    <w:rsid w:val="532FB75B"/>
    <w:rsid w:val="533E72E0"/>
    <w:rsid w:val="535527FD"/>
    <w:rsid w:val="53774F3B"/>
    <w:rsid w:val="53991F7F"/>
    <w:rsid w:val="53DB4775"/>
    <w:rsid w:val="53FFAC73"/>
    <w:rsid w:val="54015FE5"/>
    <w:rsid w:val="54094F3E"/>
    <w:rsid w:val="54302416"/>
    <w:rsid w:val="54615CCD"/>
    <w:rsid w:val="5477E507"/>
    <w:rsid w:val="547B702D"/>
    <w:rsid w:val="547B8533"/>
    <w:rsid w:val="549534E0"/>
    <w:rsid w:val="54996B2C"/>
    <w:rsid w:val="54B4411C"/>
    <w:rsid w:val="54D77663"/>
    <w:rsid w:val="550C4344"/>
    <w:rsid w:val="553A73D2"/>
    <w:rsid w:val="55AF730D"/>
    <w:rsid w:val="55B03890"/>
    <w:rsid w:val="55D3CD1F"/>
    <w:rsid w:val="55EEC43C"/>
    <w:rsid w:val="55F44AF2"/>
    <w:rsid w:val="563327D1"/>
    <w:rsid w:val="56574A1B"/>
    <w:rsid w:val="56917CE7"/>
    <w:rsid w:val="56AA3B78"/>
    <w:rsid w:val="56B15B87"/>
    <w:rsid w:val="56BD43D7"/>
    <w:rsid w:val="56CC256E"/>
    <w:rsid w:val="56FB66E1"/>
    <w:rsid w:val="57151AE3"/>
    <w:rsid w:val="571815E7"/>
    <w:rsid w:val="571C193C"/>
    <w:rsid w:val="573467FA"/>
    <w:rsid w:val="57467522"/>
    <w:rsid w:val="574D0D1B"/>
    <w:rsid w:val="57A67FDC"/>
    <w:rsid w:val="57BD5228"/>
    <w:rsid w:val="57DED045"/>
    <w:rsid w:val="580747E0"/>
    <w:rsid w:val="58147184"/>
    <w:rsid w:val="582E57DE"/>
    <w:rsid w:val="583B1C42"/>
    <w:rsid w:val="58500818"/>
    <w:rsid w:val="588C00F9"/>
    <w:rsid w:val="58A321C6"/>
    <w:rsid w:val="58BF4976"/>
    <w:rsid w:val="58E26287"/>
    <w:rsid w:val="59395B59"/>
    <w:rsid w:val="594035A5"/>
    <w:rsid w:val="5954770A"/>
    <w:rsid w:val="597579D6"/>
    <w:rsid w:val="5983442B"/>
    <w:rsid w:val="59DD01BD"/>
    <w:rsid w:val="59EFFD31"/>
    <w:rsid w:val="5A236E98"/>
    <w:rsid w:val="5A6A4BE9"/>
    <w:rsid w:val="5AAF7B72"/>
    <w:rsid w:val="5AC31789"/>
    <w:rsid w:val="5AFB2BEF"/>
    <w:rsid w:val="5B10566E"/>
    <w:rsid w:val="5B2A0CAE"/>
    <w:rsid w:val="5B3F5F54"/>
    <w:rsid w:val="5B4E75BA"/>
    <w:rsid w:val="5B7E8ECC"/>
    <w:rsid w:val="5B904A8D"/>
    <w:rsid w:val="5B9FA6C7"/>
    <w:rsid w:val="5BAA161F"/>
    <w:rsid w:val="5BB319FF"/>
    <w:rsid w:val="5C1E5199"/>
    <w:rsid w:val="5C694448"/>
    <w:rsid w:val="5C7D4253"/>
    <w:rsid w:val="5C805871"/>
    <w:rsid w:val="5CA90657"/>
    <w:rsid w:val="5D1C175E"/>
    <w:rsid w:val="5D344BAA"/>
    <w:rsid w:val="5D483DC3"/>
    <w:rsid w:val="5D577B4A"/>
    <w:rsid w:val="5D5F6439"/>
    <w:rsid w:val="5D667403"/>
    <w:rsid w:val="5D676327"/>
    <w:rsid w:val="5DA02A79"/>
    <w:rsid w:val="5DC32E6C"/>
    <w:rsid w:val="5DDD43EA"/>
    <w:rsid w:val="5DDE167C"/>
    <w:rsid w:val="5DE163E4"/>
    <w:rsid w:val="5DE768DD"/>
    <w:rsid w:val="5DF4B35E"/>
    <w:rsid w:val="5DF979B4"/>
    <w:rsid w:val="5DFA9D92"/>
    <w:rsid w:val="5DFDDA3E"/>
    <w:rsid w:val="5E167440"/>
    <w:rsid w:val="5E187D34"/>
    <w:rsid w:val="5E336664"/>
    <w:rsid w:val="5EA6764C"/>
    <w:rsid w:val="5EBF3EF6"/>
    <w:rsid w:val="5EBFE30F"/>
    <w:rsid w:val="5EC78689"/>
    <w:rsid w:val="5EDB9BFE"/>
    <w:rsid w:val="5EF7849A"/>
    <w:rsid w:val="5EFB03E4"/>
    <w:rsid w:val="5EFC46B6"/>
    <w:rsid w:val="5EFC662F"/>
    <w:rsid w:val="5EFDE0D3"/>
    <w:rsid w:val="5F1A7CAC"/>
    <w:rsid w:val="5F223BC2"/>
    <w:rsid w:val="5F356011"/>
    <w:rsid w:val="5F3C7D46"/>
    <w:rsid w:val="5F4A286C"/>
    <w:rsid w:val="5F506981"/>
    <w:rsid w:val="5F69359F"/>
    <w:rsid w:val="5F724741"/>
    <w:rsid w:val="5F7F2DC3"/>
    <w:rsid w:val="5F881E2C"/>
    <w:rsid w:val="5FB718A1"/>
    <w:rsid w:val="5FBD5345"/>
    <w:rsid w:val="5FD6AC34"/>
    <w:rsid w:val="5FD72455"/>
    <w:rsid w:val="5FD85943"/>
    <w:rsid w:val="5FDBD580"/>
    <w:rsid w:val="5FE06049"/>
    <w:rsid w:val="5FEB0458"/>
    <w:rsid w:val="5FED9CFF"/>
    <w:rsid w:val="5FF32846"/>
    <w:rsid w:val="5FF75C5A"/>
    <w:rsid w:val="5FFBF549"/>
    <w:rsid w:val="5FFCFAA7"/>
    <w:rsid w:val="5FFF9D7C"/>
    <w:rsid w:val="5FFFB10A"/>
    <w:rsid w:val="5FFFD49F"/>
    <w:rsid w:val="5FFFF8CA"/>
    <w:rsid w:val="600F66E0"/>
    <w:rsid w:val="60117F69"/>
    <w:rsid w:val="6038723C"/>
    <w:rsid w:val="605F09E4"/>
    <w:rsid w:val="609675A5"/>
    <w:rsid w:val="609808D1"/>
    <w:rsid w:val="60A07234"/>
    <w:rsid w:val="60A70429"/>
    <w:rsid w:val="60A76A75"/>
    <w:rsid w:val="60C70A47"/>
    <w:rsid w:val="61BA1146"/>
    <w:rsid w:val="61DC1A7B"/>
    <w:rsid w:val="61DC5594"/>
    <w:rsid w:val="61F53810"/>
    <w:rsid w:val="61F66A86"/>
    <w:rsid w:val="6267055B"/>
    <w:rsid w:val="62685D90"/>
    <w:rsid w:val="626F05E5"/>
    <w:rsid w:val="627036CB"/>
    <w:rsid w:val="62DB0C58"/>
    <w:rsid w:val="62F37EAB"/>
    <w:rsid w:val="62F848DE"/>
    <w:rsid w:val="63182D9A"/>
    <w:rsid w:val="632D6048"/>
    <w:rsid w:val="638A64D3"/>
    <w:rsid w:val="63CD79A6"/>
    <w:rsid w:val="63DA1086"/>
    <w:rsid w:val="63E5111B"/>
    <w:rsid w:val="63E973F5"/>
    <w:rsid w:val="64806DE3"/>
    <w:rsid w:val="64A7519E"/>
    <w:rsid w:val="64B62A79"/>
    <w:rsid w:val="64CA7857"/>
    <w:rsid w:val="653622F5"/>
    <w:rsid w:val="65491EA9"/>
    <w:rsid w:val="657215AE"/>
    <w:rsid w:val="658950D7"/>
    <w:rsid w:val="658CDE0A"/>
    <w:rsid w:val="65A23791"/>
    <w:rsid w:val="65B93475"/>
    <w:rsid w:val="65BF6D4B"/>
    <w:rsid w:val="65E200B0"/>
    <w:rsid w:val="66322DE9"/>
    <w:rsid w:val="66778246"/>
    <w:rsid w:val="668009BD"/>
    <w:rsid w:val="668F5D04"/>
    <w:rsid w:val="669E5931"/>
    <w:rsid w:val="66AD2CA4"/>
    <w:rsid w:val="66F67A8F"/>
    <w:rsid w:val="66FD41CA"/>
    <w:rsid w:val="672B43F4"/>
    <w:rsid w:val="67303262"/>
    <w:rsid w:val="674D4589"/>
    <w:rsid w:val="674E4F7F"/>
    <w:rsid w:val="677874A7"/>
    <w:rsid w:val="67AA3C57"/>
    <w:rsid w:val="67B33F51"/>
    <w:rsid w:val="67FA8EFA"/>
    <w:rsid w:val="680879F8"/>
    <w:rsid w:val="68345B3E"/>
    <w:rsid w:val="6841793D"/>
    <w:rsid w:val="686F3228"/>
    <w:rsid w:val="68790CF7"/>
    <w:rsid w:val="687D23C0"/>
    <w:rsid w:val="68854C92"/>
    <w:rsid w:val="68A13B48"/>
    <w:rsid w:val="68AE78FF"/>
    <w:rsid w:val="68AF3C4A"/>
    <w:rsid w:val="68B55543"/>
    <w:rsid w:val="68F14A55"/>
    <w:rsid w:val="696BFE92"/>
    <w:rsid w:val="69B34697"/>
    <w:rsid w:val="69CB2CA3"/>
    <w:rsid w:val="69D65C6C"/>
    <w:rsid w:val="69DF4D16"/>
    <w:rsid w:val="69FD15BC"/>
    <w:rsid w:val="6AA63364"/>
    <w:rsid w:val="6AB34997"/>
    <w:rsid w:val="6AD97746"/>
    <w:rsid w:val="6ADFD934"/>
    <w:rsid w:val="6AE01D81"/>
    <w:rsid w:val="6AFF2812"/>
    <w:rsid w:val="6B2C2772"/>
    <w:rsid w:val="6B545D5A"/>
    <w:rsid w:val="6B7FEFF2"/>
    <w:rsid w:val="6BB9720D"/>
    <w:rsid w:val="6BBB440B"/>
    <w:rsid w:val="6BC7221C"/>
    <w:rsid w:val="6BD957F0"/>
    <w:rsid w:val="6BFB88FF"/>
    <w:rsid w:val="6C0F5A09"/>
    <w:rsid w:val="6C1825D5"/>
    <w:rsid w:val="6C54031D"/>
    <w:rsid w:val="6C5C0714"/>
    <w:rsid w:val="6C903BAE"/>
    <w:rsid w:val="6CBD7C98"/>
    <w:rsid w:val="6CE17B63"/>
    <w:rsid w:val="6CE32365"/>
    <w:rsid w:val="6D011D2A"/>
    <w:rsid w:val="6D0FEE76"/>
    <w:rsid w:val="6D9F757D"/>
    <w:rsid w:val="6DD23B09"/>
    <w:rsid w:val="6DE705AE"/>
    <w:rsid w:val="6DFDFA43"/>
    <w:rsid w:val="6E1312A6"/>
    <w:rsid w:val="6E1B5479"/>
    <w:rsid w:val="6E3DBE26"/>
    <w:rsid w:val="6E6F1877"/>
    <w:rsid w:val="6E91E565"/>
    <w:rsid w:val="6EB29D57"/>
    <w:rsid w:val="6EBA7973"/>
    <w:rsid w:val="6EDF387E"/>
    <w:rsid w:val="6EE175F6"/>
    <w:rsid w:val="6EF9AE9A"/>
    <w:rsid w:val="6EFF62FE"/>
    <w:rsid w:val="6F195402"/>
    <w:rsid w:val="6F2DE96A"/>
    <w:rsid w:val="6F31AE21"/>
    <w:rsid w:val="6F574E95"/>
    <w:rsid w:val="6F6FF71C"/>
    <w:rsid w:val="6F775A19"/>
    <w:rsid w:val="6FAE68E8"/>
    <w:rsid w:val="6FB50318"/>
    <w:rsid w:val="6FB94193"/>
    <w:rsid w:val="6FCC2EB5"/>
    <w:rsid w:val="6FDBA970"/>
    <w:rsid w:val="6FDF07A6"/>
    <w:rsid w:val="6FE2035D"/>
    <w:rsid w:val="6FE390B1"/>
    <w:rsid w:val="6FE3B264"/>
    <w:rsid w:val="6FE9FCF5"/>
    <w:rsid w:val="6FEA91A4"/>
    <w:rsid w:val="6FF3A074"/>
    <w:rsid w:val="6FF50FA5"/>
    <w:rsid w:val="6FFDABD9"/>
    <w:rsid w:val="6FFF567F"/>
    <w:rsid w:val="6FFFBC7E"/>
    <w:rsid w:val="701024DB"/>
    <w:rsid w:val="70181D67"/>
    <w:rsid w:val="704770A3"/>
    <w:rsid w:val="704923AA"/>
    <w:rsid w:val="70606085"/>
    <w:rsid w:val="706B420E"/>
    <w:rsid w:val="70883EC7"/>
    <w:rsid w:val="70A3152A"/>
    <w:rsid w:val="70A40793"/>
    <w:rsid w:val="70CD4728"/>
    <w:rsid w:val="70F962E4"/>
    <w:rsid w:val="71080EBC"/>
    <w:rsid w:val="7117510E"/>
    <w:rsid w:val="711A294B"/>
    <w:rsid w:val="713738B3"/>
    <w:rsid w:val="71696310"/>
    <w:rsid w:val="717026C1"/>
    <w:rsid w:val="717C35CD"/>
    <w:rsid w:val="717D85AC"/>
    <w:rsid w:val="719B440E"/>
    <w:rsid w:val="71CE57D9"/>
    <w:rsid w:val="71FA2193"/>
    <w:rsid w:val="71FC0D49"/>
    <w:rsid w:val="725F4BED"/>
    <w:rsid w:val="72B71FC4"/>
    <w:rsid w:val="72D7A27D"/>
    <w:rsid w:val="72E91A84"/>
    <w:rsid w:val="732D39FB"/>
    <w:rsid w:val="73370A65"/>
    <w:rsid w:val="734C0210"/>
    <w:rsid w:val="73684CAE"/>
    <w:rsid w:val="736E34FE"/>
    <w:rsid w:val="738C31DF"/>
    <w:rsid w:val="73935DA2"/>
    <w:rsid w:val="739C45CD"/>
    <w:rsid w:val="73B7537E"/>
    <w:rsid w:val="73C531B2"/>
    <w:rsid w:val="73E055D9"/>
    <w:rsid w:val="73E33181"/>
    <w:rsid w:val="73E93FCE"/>
    <w:rsid w:val="74510D7A"/>
    <w:rsid w:val="745D6EFE"/>
    <w:rsid w:val="748A7DE8"/>
    <w:rsid w:val="74A76BEC"/>
    <w:rsid w:val="74B4797B"/>
    <w:rsid w:val="74DA3F09"/>
    <w:rsid w:val="74DC0009"/>
    <w:rsid w:val="74E702FF"/>
    <w:rsid w:val="7503704F"/>
    <w:rsid w:val="751122B7"/>
    <w:rsid w:val="753708F8"/>
    <w:rsid w:val="754B064A"/>
    <w:rsid w:val="75524C18"/>
    <w:rsid w:val="7589009F"/>
    <w:rsid w:val="75B17222"/>
    <w:rsid w:val="75BA72FB"/>
    <w:rsid w:val="75BF3092"/>
    <w:rsid w:val="75DFA4F0"/>
    <w:rsid w:val="75DFBFD0"/>
    <w:rsid w:val="75F622C3"/>
    <w:rsid w:val="75FF4C8A"/>
    <w:rsid w:val="763EB2E5"/>
    <w:rsid w:val="767D45EF"/>
    <w:rsid w:val="767F135D"/>
    <w:rsid w:val="769E6DF1"/>
    <w:rsid w:val="76A17F8A"/>
    <w:rsid w:val="76C41F7B"/>
    <w:rsid w:val="76DCAFD7"/>
    <w:rsid w:val="76E51A90"/>
    <w:rsid w:val="76E62DA4"/>
    <w:rsid w:val="76FF460A"/>
    <w:rsid w:val="771B3E6B"/>
    <w:rsid w:val="77366753"/>
    <w:rsid w:val="776FF162"/>
    <w:rsid w:val="777C4360"/>
    <w:rsid w:val="779E0C9A"/>
    <w:rsid w:val="77B6A096"/>
    <w:rsid w:val="77B7A143"/>
    <w:rsid w:val="77CB4B7E"/>
    <w:rsid w:val="77CC87CB"/>
    <w:rsid w:val="77E617D9"/>
    <w:rsid w:val="77E8CE58"/>
    <w:rsid w:val="77EA0480"/>
    <w:rsid w:val="77ED6075"/>
    <w:rsid w:val="77F7296C"/>
    <w:rsid w:val="78376AFA"/>
    <w:rsid w:val="78545B2D"/>
    <w:rsid w:val="7858219C"/>
    <w:rsid w:val="787303D6"/>
    <w:rsid w:val="78736A52"/>
    <w:rsid w:val="78746DE5"/>
    <w:rsid w:val="78845853"/>
    <w:rsid w:val="78B673FD"/>
    <w:rsid w:val="78C43449"/>
    <w:rsid w:val="78F84144"/>
    <w:rsid w:val="791C079E"/>
    <w:rsid w:val="792E70F3"/>
    <w:rsid w:val="79A32D34"/>
    <w:rsid w:val="79BBDED3"/>
    <w:rsid w:val="79C13248"/>
    <w:rsid w:val="79C7C413"/>
    <w:rsid w:val="79CD9599"/>
    <w:rsid w:val="79FE1FAD"/>
    <w:rsid w:val="79FFFA73"/>
    <w:rsid w:val="7A737A52"/>
    <w:rsid w:val="7AA42C4F"/>
    <w:rsid w:val="7AA91380"/>
    <w:rsid w:val="7AB7FF50"/>
    <w:rsid w:val="7ABA373A"/>
    <w:rsid w:val="7AED723D"/>
    <w:rsid w:val="7AFD2C95"/>
    <w:rsid w:val="7AFEEECE"/>
    <w:rsid w:val="7B1626D8"/>
    <w:rsid w:val="7B4F25A0"/>
    <w:rsid w:val="7B6EDBE1"/>
    <w:rsid w:val="7B763E12"/>
    <w:rsid w:val="7B7710FF"/>
    <w:rsid w:val="7BA77C7B"/>
    <w:rsid w:val="7BBFB6D1"/>
    <w:rsid w:val="7BCF1539"/>
    <w:rsid w:val="7BD840D9"/>
    <w:rsid w:val="7BDBD0F8"/>
    <w:rsid w:val="7BE900B2"/>
    <w:rsid w:val="7BEF5865"/>
    <w:rsid w:val="7BF34333"/>
    <w:rsid w:val="7BF37224"/>
    <w:rsid w:val="7BFB4021"/>
    <w:rsid w:val="7BFB5186"/>
    <w:rsid w:val="7BFC37A8"/>
    <w:rsid w:val="7BFEB0DB"/>
    <w:rsid w:val="7BFF8A2A"/>
    <w:rsid w:val="7BFFE0D3"/>
    <w:rsid w:val="7C3F770A"/>
    <w:rsid w:val="7C5FD703"/>
    <w:rsid w:val="7C6B00CC"/>
    <w:rsid w:val="7C6C2435"/>
    <w:rsid w:val="7C911F4C"/>
    <w:rsid w:val="7C9F562F"/>
    <w:rsid w:val="7CA873A0"/>
    <w:rsid w:val="7CD80A60"/>
    <w:rsid w:val="7CDE42EE"/>
    <w:rsid w:val="7CDFEA5B"/>
    <w:rsid w:val="7CE35AD3"/>
    <w:rsid w:val="7CF6CEBA"/>
    <w:rsid w:val="7CFFEEAB"/>
    <w:rsid w:val="7D0B0AA8"/>
    <w:rsid w:val="7D2E32F1"/>
    <w:rsid w:val="7D2F9C23"/>
    <w:rsid w:val="7D48167F"/>
    <w:rsid w:val="7D4C4E3A"/>
    <w:rsid w:val="7D6FB207"/>
    <w:rsid w:val="7D751697"/>
    <w:rsid w:val="7D7D5574"/>
    <w:rsid w:val="7DA414D9"/>
    <w:rsid w:val="7DBB0771"/>
    <w:rsid w:val="7DBF235F"/>
    <w:rsid w:val="7DDE62DE"/>
    <w:rsid w:val="7DE7671C"/>
    <w:rsid w:val="7DEE9297"/>
    <w:rsid w:val="7DEEFA5D"/>
    <w:rsid w:val="7DFC1302"/>
    <w:rsid w:val="7DFEA428"/>
    <w:rsid w:val="7E857593"/>
    <w:rsid w:val="7EB4E946"/>
    <w:rsid w:val="7EBD3283"/>
    <w:rsid w:val="7EDE4692"/>
    <w:rsid w:val="7EE8D7CF"/>
    <w:rsid w:val="7EEF13E9"/>
    <w:rsid w:val="7EEFCA1D"/>
    <w:rsid w:val="7EF31154"/>
    <w:rsid w:val="7EF605D7"/>
    <w:rsid w:val="7EFC8484"/>
    <w:rsid w:val="7EFF07C0"/>
    <w:rsid w:val="7F36D1A3"/>
    <w:rsid w:val="7F4270A1"/>
    <w:rsid w:val="7F55400D"/>
    <w:rsid w:val="7F56082E"/>
    <w:rsid w:val="7F673A31"/>
    <w:rsid w:val="7F677CEA"/>
    <w:rsid w:val="7F6F7155"/>
    <w:rsid w:val="7F73B7A8"/>
    <w:rsid w:val="7F7DFEBA"/>
    <w:rsid w:val="7F7E7E8E"/>
    <w:rsid w:val="7F7F21FA"/>
    <w:rsid w:val="7F96796B"/>
    <w:rsid w:val="7F9BD81A"/>
    <w:rsid w:val="7FA21AFD"/>
    <w:rsid w:val="7FADC27F"/>
    <w:rsid w:val="7FAE989B"/>
    <w:rsid w:val="7FBC4D4E"/>
    <w:rsid w:val="7FC34FAB"/>
    <w:rsid w:val="7FD73BA9"/>
    <w:rsid w:val="7FDB226E"/>
    <w:rsid w:val="7FDB6EBA"/>
    <w:rsid w:val="7FDDDDC0"/>
    <w:rsid w:val="7FDF38A6"/>
    <w:rsid w:val="7FDFA9BF"/>
    <w:rsid w:val="7FE00014"/>
    <w:rsid w:val="7FE546EB"/>
    <w:rsid w:val="7FE6C567"/>
    <w:rsid w:val="7FE6CE3E"/>
    <w:rsid w:val="7FE753EA"/>
    <w:rsid w:val="7FED4238"/>
    <w:rsid w:val="7FF2A229"/>
    <w:rsid w:val="7FF5C3F4"/>
    <w:rsid w:val="7FF66677"/>
    <w:rsid w:val="7FF7932D"/>
    <w:rsid w:val="7FF9904A"/>
    <w:rsid w:val="7FFB1A35"/>
    <w:rsid w:val="7FFE34EE"/>
    <w:rsid w:val="7FFEB2F5"/>
    <w:rsid w:val="7FFF2C68"/>
    <w:rsid w:val="7FFFF178"/>
    <w:rsid w:val="8B790E5A"/>
    <w:rsid w:val="8FDBE281"/>
    <w:rsid w:val="8FE5713D"/>
    <w:rsid w:val="8FF7CB26"/>
    <w:rsid w:val="8FFFC565"/>
    <w:rsid w:val="97BDE1DF"/>
    <w:rsid w:val="99DF388F"/>
    <w:rsid w:val="9BF7EC61"/>
    <w:rsid w:val="9E6DD0F2"/>
    <w:rsid w:val="9ECD2282"/>
    <w:rsid w:val="9FEB8E9C"/>
    <w:rsid w:val="A3F74457"/>
    <w:rsid w:val="A5D9B83F"/>
    <w:rsid w:val="A6F91A17"/>
    <w:rsid w:val="A9F7193A"/>
    <w:rsid w:val="ABE9A386"/>
    <w:rsid w:val="ABFFF98E"/>
    <w:rsid w:val="AD6F2631"/>
    <w:rsid w:val="ADB3E0B4"/>
    <w:rsid w:val="ADFB883A"/>
    <w:rsid w:val="ADFFC40E"/>
    <w:rsid w:val="AF5F3BAE"/>
    <w:rsid w:val="AFDBF8C4"/>
    <w:rsid w:val="AFFB2937"/>
    <w:rsid w:val="B37FAB47"/>
    <w:rsid w:val="B66B8181"/>
    <w:rsid w:val="B7E53250"/>
    <w:rsid w:val="BB7DE5EB"/>
    <w:rsid w:val="BB7DFD0C"/>
    <w:rsid w:val="BBFDFC4C"/>
    <w:rsid w:val="BCEF40FF"/>
    <w:rsid w:val="BD0F2119"/>
    <w:rsid w:val="BD7AAC37"/>
    <w:rsid w:val="BDAAAD0D"/>
    <w:rsid w:val="BDCD9561"/>
    <w:rsid w:val="BDD37F99"/>
    <w:rsid w:val="BDE5375C"/>
    <w:rsid w:val="BDE6E321"/>
    <w:rsid w:val="BE9E022A"/>
    <w:rsid w:val="BEF46C33"/>
    <w:rsid w:val="BF54A77A"/>
    <w:rsid w:val="BF76892F"/>
    <w:rsid w:val="BF7F0BCA"/>
    <w:rsid w:val="BF8A11E7"/>
    <w:rsid w:val="BFD5634F"/>
    <w:rsid w:val="BFDEC64A"/>
    <w:rsid w:val="BFFBBE5B"/>
    <w:rsid w:val="BFFCFD59"/>
    <w:rsid w:val="BFFF0FCC"/>
    <w:rsid w:val="BFFF31A3"/>
    <w:rsid w:val="C5BE3F6E"/>
    <w:rsid w:val="C7DE0623"/>
    <w:rsid w:val="CCDECD76"/>
    <w:rsid w:val="CCEFA0F4"/>
    <w:rsid w:val="CDE794E2"/>
    <w:rsid w:val="CEFD3F3D"/>
    <w:rsid w:val="CFDD8D27"/>
    <w:rsid w:val="D29EF1B2"/>
    <w:rsid w:val="D3B5739E"/>
    <w:rsid w:val="D47274E2"/>
    <w:rsid w:val="D56E1E84"/>
    <w:rsid w:val="D5FF66B0"/>
    <w:rsid w:val="D64F8AAA"/>
    <w:rsid w:val="D6E74A82"/>
    <w:rsid w:val="D6FE7129"/>
    <w:rsid w:val="D77FF518"/>
    <w:rsid w:val="D7DB675F"/>
    <w:rsid w:val="D87D24CE"/>
    <w:rsid w:val="D9A7D51E"/>
    <w:rsid w:val="D9FB2520"/>
    <w:rsid w:val="DAFED10F"/>
    <w:rsid w:val="DBBF483A"/>
    <w:rsid w:val="DBF5EF7C"/>
    <w:rsid w:val="DBF67DA8"/>
    <w:rsid w:val="DD7E0321"/>
    <w:rsid w:val="DDF71986"/>
    <w:rsid w:val="DECF0ED3"/>
    <w:rsid w:val="DEDEE40F"/>
    <w:rsid w:val="DEFF9E8F"/>
    <w:rsid w:val="DEFFE729"/>
    <w:rsid w:val="DF2FEB53"/>
    <w:rsid w:val="DF496655"/>
    <w:rsid w:val="DF87C616"/>
    <w:rsid w:val="DFBB5EF8"/>
    <w:rsid w:val="DFCF83A4"/>
    <w:rsid w:val="DFDBB342"/>
    <w:rsid w:val="DFE75250"/>
    <w:rsid w:val="DFE7BBDC"/>
    <w:rsid w:val="DFE9EEE9"/>
    <w:rsid w:val="DFEF4899"/>
    <w:rsid w:val="DFF9B30A"/>
    <w:rsid w:val="E0FC22B5"/>
    <w:rsid w:val="E1FDA15C"/>
    <w:rsid w:val="E27D4AA9"/>
    <w:rsid w:val="E37BA110"/>
    <w:rsid w:val="E3BF197D"/>
    <w:rsid w:val="E4A9531F"/>
    <w:rsid w:val="E4D823E6"/>
    <w:rsid w:val="E6F36A8D"/>
    <w:rsid w:val="E77764EE"/>
    <w:rsid w:val="E7BEEC9C"/>
    <w:rsid w:val="E9AF78FF"/>
    <w:rsid w:val="E9EF753D"/>
    <w:rsid w:val="EA010660"/>
    <w:rsid w:val="EA3F77F2"/>
    <w:rsid w:val="EAB7DD28"/>
    <w:rsid w:val="EAFF2D79"/>
    <w:rsid w:val="EBBDE890"/>
    <w:rsid w:val="EBBF26D3"/>
    <w:rsid w:val="EBFB802B"/>
    <w:rsid w:val="EBFBC614"/>
    <w:rsid w:val="EBFEA2EB"/>
    <w:rsid w:val="EC3E500A"/>
    <w:rsid w:val="EC4F020E"/>
    <w:rsid w:val="EC6DF5A0"/>
    <w:rsid w:val="EC7D0ECE"/>
    <w:rsid w:val="ECBF8653"/>
    <w:rsid w:val="ED7B1683"/>
    <w:rsid w:val="EDBF1ADD"/>
    <w:rsid w:val="EDF5FDD6"/>
    <w:rsid w:val="EEDFBF19"/>
    <w:rsid w:val="EEFE5989"/>
    <w:rsid w:val="EEFF07CD"/>
    <w:rsid w:val="EFBB589B"/>
    <w:rsid w:val="EFBFFE70"/>
    <w:rsid w:val="EFCF35E4"/>
    <w:rsid w:val="EFCF3EAE"/>
    <w:rsid w:val="EFCFB380"/>
    <w:rsid w:val="EFDBBA39"/>
    <w:rsid w:val="EFE695FF"/>
    <w:rsid w:val="EFE817C8"/>
    <w:rsid w:val="EFF7BCDB"/>
    <w:rsid w:val="EFFB3DA1"/>
    <w:rsid w:val="EFFD5C1E"/>
    <w:rsid w:val="EFFFA372"/>
    <w:rsid w:val="F0FD2B31"/>
    <w:rsid w:val="F2CD1E3B"/>
    <w:rsid w:val="F336486A"/>
    <w:rsid w:val="F377A022"/>
    <w:rsid w:val="F48F6B0C"/>
    <w:rsid w:val="F57FE37A"/>
    <w:rsid w:val="F5B6D919"/>
    <w:rsid w:val="F5B764A2"/>
    <w:rsid w:val="F643F3A5"/>
    <w:rsid w:val="F6BD5F78"/>
    <w:rsid w:val="F71DC485"/>
    <w:rsid w:val="F73EB5C5"/>
    <w:rsid w:val="F77F09F4"/>
    <w:rsid w:val="F7B9D150"/>
    <w:rsid w:val="F7DF5084"/>
    <w:rsid w:val="F7E7F1B0"/>
    <w:rsid w:val="F7EEC367"/>
    <w:rsid w:val="F7F595A0"/>
    <w:rsid w:val="F7FAF5F3"/>
    <w:rsid w:val="F7FE0F95"/>
    <w:rsid w:val="F81D32C9"/>
    <w:rsid w:val="F8BFD9D7"/>
    <w:rsid w:val="F8FC44F4"/>
    <w:rsid w:val="F97B6AAB"/>
    <w:rsid w:val="F97B907F"/>
    <w:rsid w:val="F9FD5272"/>
    <w:rsid w:val="F9FFBB02"/>
    <w:rsid w:val="FA7A8D67"/>
    <w:rsid w:val="FA9F5320"/>
    <w:rsid w:val="FAB71541"/>
    <w:rsid w:val="FB622D0A"/>
    <w:rsid w:val="FB7FEDCA"/>
    <w:rsid w:val="FB97D382"/>
    <w:rsid w:val="FBB61D42"/>
    <w:rsid w:val="FBBBA616"/>
    <w:rsid w:val="FBBDE4DE"/>
    <w:rsid w:val="FBBF4E92"/>
    <w:rsid w:val="FBDD20D0"/>
    <w:rsid w:val="FBDFA3ED"/>
    <w:rsid w:val="FBEF1CF4"/>
    <w:rsid w:val="FBF26A9D"/>
    <w:rsid w:val="FBF6BA86"/>
    <w:rsid w:val="FBF6D1C2"/>
    <w:rsid w:val="FBF7D3EC"/>
    <w:rsid w:val="FBFB7DF7"/>
    <w:rsid w:val="FBFEE235"/>
    <w:rsid w:val="FBFFEAB5"/>
    <w:rsid w:val="FC6F31F3"/>
    <w:rsid w:val="FD63362C"/>
    <w:rsid w:val="FD7BC183"/>
    <w:rsid w:val="FD7D5DAE"/>
    <w:rsid w:val="FD7E5ACA"/>
    <w:rsid w:val="FDBF85EA"/>
    <w:rsid w:val="FDDFBAA4"/>
    <w:rsid w:val="FDF69B12"/>
    <w:rsid w:val="FDFB2009"/>
    <w:rsid w:val="FDFF59FC"/>
    <w:rsid w:val="FDFFA9F2"/>
    <w:rsid w:val="FE35711B"/>
    <w:rsid w:val="FE3FB59D"/>
    <w:rsid w:val="FE6DDD64"/>
    <w:rsid w:val="FEB56596"/>
    <w:rsid w:val="FEF41A6E"/>
    <w:rsid w:val="FEF72367"/>
    <w:rsid w:val="FEF7B9D0"/>
    <w:rsid w:val="FEFC78FC"/>
    <w:rsid w:val="FEFCF947"/>
    <w:rsid w:val="FF2788A7"/>
    <w:rsid w:val="FF6B2AA6"/>
    <w:rsid w:val="FF6FB406"/>
    <w:rsid w:val="FF786CE8"/>
    <w:rsid w:val="FF7BF421"/>
    <w:rsid w:val="FF7DE885"/>
    <w:rsid w:val="FF7F1410"/>
    <w:rsid w:val="FF8E1E5E"/>
    <w:rsid w:val="FF8F3F05"/>
    <w:rsid w:val="FFB26B6A"/>
    <w:rsid w:val="FFB73185"/>
    <w:rsid w:val="FFBD2766"/>
    <w:rsid w:val="FFBE4B2B"/>
    <w:rsid w:val="FFBE5336"/>
    <w:rsid w:val="FFBF57E1"/>
    <w:rsid w:val="FFBFB6D3"/>
    <w:rsid w:val="FFCF9C70"/>
    <w:rsid w:val="FFCFE5DF"/>
    <w:rsid w:val="FFCFE67B"/>
    <w:rsid w:val="FFCFFDDE"/>
    <w:rsid w:val="FFD7BFFC"/>
    <w:rsid w:val="FFD7F893"/>
    <w:rsid w:val="FFDBAA1C"/>
    <w:rsid w:val="FFDD8896"/>
    <w:rsid w:val="FFDE71FC"/>
    <w:rsid w:val="FFEB89EA"/>
    <w:rsid w:val="FFF323CE"/>
    <w:rsid w:val="FFF7DC3A"/>
    <w:rsid w:val="FFFA6B0F"/>
    <w:rsid w:val="FFFB4A6E"/>
    <w:rsid w:val="FFFBF613"/>
    <w:rsid w:val="FFFD3E5D"/>
    <w:rsid w:val="FFFDB143"/>
    <w:rsid w:val="FFFF10AE"/>
    <w:rsid w:val="FFFF2453"/>
    <w:rsid w:val="FFFF7AE7"/>
    <w:rsid w:val="FFFF857F"/>
    <w:rsid w:val="FFFFA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after="260" w:line="416" w:lineRule="auto"/>
      <w:outlineLvl w:val="2"/>
    </w:pPr>
    <w:rPr>
      <w:b/>
      <w:bCs/>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eastAsia="仿宋_GB2312"/>
      <w:sz w:val="32"/>
    </w:rPr>
  </w:style>
  <w:style w:type="paragraph" w:styleId="5">
    <w:name w:val="annotation text"/>
    <w:basedOn w:val="1"/>
    <w:link w:val="14"/>
    <w:unhideWhenUsed/>
    <w:qFormat/>
    <w:uiPriority w:val="99"/>
    <w:pPr>
      <w:jc w:val="left"/>
    </w:pPr>
    <w:rPr>
      <w:rFonts w:ascii="Calibri" w:hAnsi="Calibri"/>
      <w:szCs w:val="22"/>
    </w:rPr>
  </w:style>
  <w:style w:type="paragraph" w:styleId="6">
    <w:name w:val="Balloon Text"/>
    <w:basedOn w:val="1"/>
    <w:link w:val="15"/>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unhideWhenUsed/>
    <w:qFormat/>
    <w:uiPriority w:val="99"/>
    <w:rPr>
      <w:sz w:val="21"/>
      <w:szCs w:val="21"/>
    </w:rPr>
  </w:style>
  <w:style w:type="paragraph" w:customStyle="1" w:styleId="13">
    <w:name w:val="列出段落1"/>
    <w:basedOn w:val="1"/>
    <w:qFormat/>
    <w:uiPriority w:val="34"/>
    <w:pPr>
      <w:ind w:firstLine="420" w:firstLineChars="200"/>
    </w:pPr>
    <w:rPr>
      <w:rFonts w:ascii="Calibri" w:hAnsi="Calibri" w:cs="黑体"/>
      <w:szCs w:val="22"/>
    </w:rPr>
  </w:style>
  <w:style w:type="character" w:customStyle="1" w:styleId="14">
    <w:name w:val="批注文字 Char"/>
    <w:basedOn w:val="11"/>
    <w:link w:val="5"/>
    <w:qFormat/>
    <w:uiPriority w:val="99"/>
    <w:rPr>
      <w:rFonts w:ascii="Calibri" w:hAnsi="Calibri" w:eastAsia="宋体" w:cs="Times New Roman"/>
      <w:kern w:val="2"/>
      <w:sz w:val="21"/>
      <w:szCs w:val="22"/>
    </w:rPr>
  </w:style>
  <w:style w:type="character" w:customStyle="1" w:styleId="15">
    <w:name w:val="批注框文本 Char"/>
    <w:basedOn w:val="11"/>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6291</Words>
  <Characters>6484</Characters>
  <Lines>266</Lines>
  <Paragraphs>75</Paragraphs>
  <TotalTime>25</TotalTime>
  <ScaleCrop>false</ScaleCrop>
  <LinksUpToDate>false</LinksUpToDate>
  <CharactersWithSpaces>6486</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2023-05-26T17:12:00Z</dcterms:created>
  <dc:creator>user</dc:creator>
  <cp:lastModifiedBy>user</cp:lastModifiedBy>
  <cp:lastPrinted>2025-05-22T17:13:00Z</cp:lastPrinted>
  <dcterms:modified xsi:type="dcterms:W3CDTF">2025-09-24T17:23:50Z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049DC86EF86F40EA9D337003CAE26171</vt:lpwstr>
  </property>
</Properties>
</file>